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6"/>
        <w:snapToGrid w:val="0"/>
        <w:spacing w:line="400" w:lineRule="exact"/>
        <w:ind w:firstLine="3614" w:firstLineChars="12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6"/>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网站群系统运维服务采购</w:t>
      </w:r>
      <w:r>
        <w:rPr>
          <w:rFonts w:hint="eastAsia" w:hAnsi="宋体"/>
          <w:b/>
          <w:bCs/>
          <w:color w:val="auto"/>
          <w:sz w:val="30"/>
          <w:szCs w:val="30"/>
          <w:lang w:bidi="zh-CN"/>
        </w:rPr>
        <w:t>询价文件</w:t>
      </w:r>
    </w:p>
    <w:p w14:paraId="71DE7728">
      <w:pPr>
        <w:pStyle w:val="16"/>
        <w:snapToGrid w:val="0"/>
        <w:spacing w:line="400" w:lineRule="exact"/>
        <w:ind w:firstLine="560" w:firstLineChars="200"/>
        <w:rPr>
          <w:rFonts w:hint="eastAsia" w:hAnsi="宋体"/>
          <w:color w:val="auto"/>
          <w:sz w:val="28"/>
          <w:szCs w:val="28"/>
          <w:lang w:bidi="zh-CN"/>
        </w:rPr>
      </w:pPr>
    </w:p>
    <w:p w14:paraId="7E8E1C49">
      <w:pPr>
        <w:pStyle w:val="16"/>
        <w:wordWrap w:val="0"/>
        <w:snapToGrid w:val="0"/>
        <w:spacing w:line="400" w:lineRule="exact"/>
        <w:ind w:firstLine="560" w:firstLineChars="200"/>
        <w:jc w:val="center"/>
        <w:rPr>
          <w:rFonts w:hint="eastAsia" w:hAnsi="宋体"/>
          <w:color w:val="auto"/>
          <w:sz w:val="28"/>
          <w:szCs w:val="28"/>
          <w:lang w:bidi="zh-CN"/>
        </w:rPr>
      </w:pPr>
      <w:r>
        <w:rPr>
          <w:rFonts w:hint="eastAsia" w:hAnsi="宋体"/>
          <w:color w:val="auto"/>
          <w:sz w:val="28"/>
          <w:szCs w:val="28"/>
          <w:lang w:bidi="zh-CN"/>
        </w:rPr>
        <w:t xml:space="preserve">                       项目编号：</w:t>
      </w:r>
      <w:r>
        <w:rPr>
          <w:rFonts w:hAnsi="宋体"/>
          <w:color w:val="auto"/>
          <w:sz w:val="28"/>
          <w:szCs w:val="28"/>
          <w:lang w:bidi="zh-CN"/>
        </w:rPr>
        <w:t>CZGYX2025</w:t>
      </w:r>
      <w:r>
        <w:rPr>
          <w:rFonts w:hint="eastAsia" w:hAnsi="宋体"/>
          <w:color w:val="auto"/>
          <w:sz w:val="28"/>
          <w:szCs w:val="28"/>
          <w:lang w:val="en-US" w:bidi="zh-CN"/>
        </w:rPr>
        <w:t>0401</w:t>
      </w: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color w:val="auto"/>
          <w:sz w:val="28"/>
          <w:szCs w:val="28"/>
          <w:lang w:bidi="zh-CN"/>
        </w:rPr>
        <w:t xml:space="preserve">  </w:t>
      </w:r>
    </w:p>
    <w:p w14:paraId="2CE005F2">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一、项目名称：</w:t>
      </w:r>
      <w:r>
        <w:rPr>
          <w:rFonts w:hint="eastAsia" w:hAnsi="宋体"/>
          <w:color w:val="auto"/>
          <w:lang w:val="en-US" w:bidi="zh-CN"/>
        </w:rPr>
        <w:t>网站群系统运维服务采购</w:t>
      </w:r>
    </w:p>
    <w:p w14:paraId="2950DE45">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6"/>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9"/>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9"/>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9"/>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9"/>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9"/>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16"/>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bidi="zh-CN"/>
        </w:rPr>
        <w:t>四、最高限价：本项目最高限价</w:t>
      </w:r>
      <w:r>
        <w:rPr>
          <w:rFonts w:hint="eastAsia" w:hAnsi="宋体"/>
          <w:b/>
          <w:bCs/>
          <w:color w:val="auto"/>
          <w:highlight w:val="none"/>
          <w:lang w:val="en-US" w:bidi="zh-CN"/>
        </w:rPr>
        <w:t>32000</w:t>
      </w:r>
      <w:r>
        <w:rPr>
          <w:rFonts w:hint="eastAsia" w:hAnsi="宋体"/>
          <w:b/>
          <w:bCs/>
          <w:color w:val="auto"/>
          <w:highlight w:val="none"/>
          <w:lang w:bidi="zh-CN"/>
        </w:rPr>
        <w:t>元，供应商不得超过最高限价，否则视为无效报价。</w:t>
      </w:r>
      <w:r>
        <w:rPr>
          <w:rFonts w:hint="eastAsia" w:hAnsi="宋体"/>
          <w:color w:val="auto"/>
          <w:highlight w:val="none"/>
          <w:lang w:bidi="zh-CN"/>
        </w:rPr>
        <w:t xml:space="preserve"> </w:t>
      </w:r>
    </w:p>
    <w:p w14:paraId="23A74848">
      <w:pPr>
        <w:pStyle w:val="16"/>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五、具体清单及要求如下</w:t>
      </w:r>
    </w:p>
    <w:p w14:paraId="60AD54AA">
      <w:pPr>
        <w:spacing w:line="360" w:lineRule="auto"/>
        <w:ind w:firstLine="420"/>
        <w:rPr>
          <w:rFonts w:ascii="宋体" w:hAnsi="宋体" w:eastAsia="宋体" w:cs="宋体"/>
          <w:sz w:val="24"/>
          <w:szCs w:val="24"/>
        </w:rPr>
      </w:pPr>
      <w:r>
        <w:rPr>
          <w:rFonts w:hint="eastAsia" w:ascii="宋体" w:hAnsi="宋体" w:eastAsia="宋体" w:cs="宋体"/>
          <w:sz w:val="24"/>
          <w:szCs w:val="24"/>
          <w:highlight w:val="none"/>
        </w:rPr>
        <w:t>提供202</w:t>
      </w:r>
      <w:r>
        <w:rPr>
          <w:rFonts w:hint="eastAsia" w:cs="宋体"/>
          <w:sz w:val="24"/>
          <w:szCs w:val="24"/>
          <w:highlight w:val="none"/>
          <w:lang w:val="en-US" w:eastAsia="zh-CN"/>
        </w:rPr>
        <w:t>5</w:t>
      </w:r>
      <w:r>
        <w:rPr>
          <w:rFonts w:hint="eastAsia" w:ascii="宋体" w:hAnsi="宋体" w:eastAsia="宋体" w:cs="宋体"/>
          <w:sz w:val="24"/>
          <w:szCs w:val="24"/>
          <w:highlight w:val="none"/>
        </w:rPr>
        <w:t>-202</w:t>
      </w:r>
      <w:r>
        <w:rPr>
          <w:rFonts w:hint="eastAsia" w:cs="宋体"/>
          <w:sz w:val="24"/>
          <w:szCs w:val="24"/>
          <w:highlight w:val="none"/>
          <w:lang w:val="en-US" w:eastAsia="zh-CN"/>
        </w:rPr>
        <w:t>7</w:t>
      </w:r>
      <w:r>
        <w:rPr>
          <w:rFonts w:hint="eastAsia" w:ascii="宋体" w:hAnsi="宋体" w:eastAsia="宋体" w:cs="宋体"/>
          <w:sz w:val="24"/>
          <w:szCs w:val="24"/>
          <w:highlight w:val="none"/>
        </w:rPr>
        <w:t>年度</w:t>
      </w:r>
      <w:r>
        <w:rPr>
          <w:rFonts w:hint="eastAsia" w:cs="宋体"/>
          <w:sz w:val="24"/>
          <w:szCs w:val="24"/>
          <w:highlight w:val="none"/>
          <w:lang w:val="en-US" w:eastAsia="zh-CN"/>
        </w:rPr>
        <w:t>网站群系统</w:t>
      </w:r>
      <w:r>
        <w:rPr>
          <w:rFonts w:hint="eastAsia" w:ascii="宋体" w:hAnsi="宋体" w:eastAsia="宋体" w:cs="宋体"/>
          <w:sz w:val="24"/>
          <w:szCs w:val="24"/>
          <w:highlight w:val="none"/>
        </w:rPr>
        <w:t>技术服务，服务期限：</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5</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4</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ascii="宋体" w:hAnsi="宋体" w:eastAsia="宋体" w:cs="宋体"/>
          <w:sz w:val="24"/>
          <w:szCs w:val="24"/>
          <w:highlight w:val="none"/>
          <w:u w:val="single"/>
        </w:rPr>
        <w:t>10</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日至</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7</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4</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ascii="宋体" w:hAnsi="宋体" w:eastAsia="宋体" w:cs="宋体"/>
          <w:sz w:val="24"/>
          <w:szCs w:val="24"/>
          <w:highlight w:val="none"/>
          <w:u w:val="single"/>
        </w:rPr>
        <w:t>10</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日，包括操作系统以上的数据库、中间件、应用程序的配置、调优和维护，确保软件系统持续稳定运行；协助学校网络中心登记、统计和管理软件资产，保障软件使用问题</w:t>
      </w:r>
      <w:r>
        <w:rPr>
          <w:rFonts w:hint="eastAsia" w:ascii="宋体" w:hAnsi="宋体" w:eastAsia="宋体" w:cs="宋体"/>
          <w:sz w:val="24"/>
          <w:szCs w:val="24"/>
        </w:rPr>
        <w:t>得到及时的服务响应。</w:t>
      </w:r>
    </w:p>
    <w:p w14:paraId="7495E0BC">
      <w:pPr>
        <w:pStyle w:val="27"/>
        <w:spacing w:line="360" w:lineRule="auto"/>
        <w:ind w:firstLine="0" w:firstLineChars="0"/>
        <w:rPr>
          <w:rFonts w:ascii="宋体" w:hAnsi="宋体" w:eastAsia="宋体" w:cs="宋体"/>
          <w:b/>
          <w:sz w:val="24"/>
          <w:szCs w:val="24"/>
        </w:rPr>
      </w:pPr>
      <w:r>
        <w:rPr>
          <w:rFonts w:hint="eastAsia" w:ascii="宋体" w:hAnsi="宋体" w:eastAsia="宋体" w:cs="宋体"/>
          <w:b/>
          <w:sz w:val="24"/>
          <w:szCs w:val="24"/>
        </w:rPr>
        <w:t>运维服务范围：</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280"/>
        <w:gridCol w:w="6780"/>
      </w:tblGrid>
      <w:tr w14:paraId="58AE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0" w:type="auto"/>
            <w:shd w:val="clear" w:color="auto" w:fill="auto"/>
            <w:vAlign w:val="center"/>
          </w:tcPr>
          <w:p w14:paraId="34DB8A7A">
            <w:pPr>
              <w:snapToGrid w:val="0"/>
              <w:spacing w:line="360" w:lineRule="auto"/>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项目</w:t>
            </w:r>
          </w:p>
        </w:tc>
        <w:tc>
          <w:tcPr>
            <w:tcW w:w="1389" w:type="dxa"/>
            <w:shd w:val="clear" w:color="auto" w:fill="auto"/>
            <w:vAlign w:val="center"/>
          </w:tcPr>
          <w:p w14:paraId="655C3FA9">
            <w:pPr>
              <w:snapToGrid w:val="0"/>
              <w:spacing w:line="360" w:lineRule="auto"/>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运维事项</w:t>
            </w:r>
          </w:p>
        </w:tc>
        <w:tc>
          <w:tcPr>
            <w:tcW w:w="7726" w:type="dxa"/>
            <w:shd w:val="clear" w:color="auto" w:fill="auto"/>
            <w:vAlign w:val="center"/>
          </w:tcPr>
          <w:p w14:paraId="1F033254">
            <w:pPr>
              <w:snapToGrid w:val="0"/>
              <w:spacing w:line="360" w:lineRule="auto"/>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运维概要及要求</w:t>
            </w:r>
            <w:bookmarkStart w:id="1" w:name="_GoBack"/>
            <w:bookmarkEnd w:id="1"/>
          </w:p>
        </w:tc>
      </w:tr>
      <w:tr w14:paraId="7A0F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0" w:type="auto"/>
            <w:vMerge w:val="restart"/>
            <w:vAlign w:val="center"/>
          </w:tcPr>
          <w:p w14:paraId="3A22CC3C">
            <w:pPr>
              <w:snapToGrid w:val="0"/>
              <w:spacing w:line="360" w:lineRule="auto"/>
              <w:jc w:val="center"/>
              <w:rPr>
                <w:rFonts w:ascii="宋体" w:hAnsi="宋体" w:eastAsia="宋体" w:cs="Times New Roman"/>
                <w:color w:val="000000"/>
                <w:sz w:val="24"/>
                <w:szCs w:val="20"/>
              </w:rPr>
            </w:pPr>
            <w:r>
              <w:rPr>
                <w:rFonts w:hint="eastAsia" w:ascii="宋体" w:hAnsi="宋体" w:eastAsia="宋体" w:cs="宋体"/>
                <w:caps/>
                <w:color w:val="000000"/>
                <w:sz w:val="24"/>
                <w:szCs w:val="20"/>
              </w:rPr>
              <w:t>网站群系统运维</w:t>
            </w:r>
          </w:p>
        </w:tc>
        <w:tc>
          <w:tcPr>
            <w:tcW w:w="1389" w:type="dxa"/>
            <w:vAlign w:val="center"/>
          </w:tcPr>
          <w:p w14:paraId="6401F907">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系统日常维护</w:t>
            </w:r>
          </w:p>
        </w:tc>
        <w:tc>
          <w:tcPr>
            <w:tcW w:w="7726" w:type="dxa"/>
            <w:vAlign w:val="center"/>
          </w:tcPr>
          <w:p w14:paraId="3ABB7C93">
            <w:pPr>
              <w:snapToGrid w:val="0"/>
              <w:spacing w:line="360" w:lineRule="auto"/>
              <w:jc w:val="left"/>
              <w:rPr>
                <w:rFonts w:ascii="宋体" w:hAnsi="宋体" w:eastAsia="宋体" w:cs="Times New Roman"/>
                <w:color w:val="000000"/>
                <w:sz w:val="24"/>
                <w:szCs w:val="20"/>
              </w:rPr>
            </w:pPr>
            <w:r>
              <w:rPr>
                <w:rFonts w:hint="eastAsia" w:ascii="宋体" w:hAnsi="宋体" w:eastAsia="宋体" w:cs="Times New Roman"/>
                <w:color w:val="000000"/>
                <w:sz w:val="24"/>
                <w:szCs w:val="20"/>
              </w:rPr>
              <w:t>1：电话服务 服务商应提供</w:t>
            </w:r>
            <w:r>
              <w:rPr>
                <w:rFonts w:ascii="宋体" w:hAnsi="宋体" w:eastAsia="宋体" w:cs="Times New Roman"/>
                <w:color w:val="000000"/>
                <w:sz w:val="24"/>
                <w:szCs w:val="20"/>
              </w:rPr>
              <w:t>7*24</w:t>
            </w:r>
            <w:r>
              <w:rPr>
                <w:rFonts w:hint="eastAsia" w:ascii="宋体" w:hAnsi="宋体" w:eastAsia="宋体" w:cs="Times New Roman"/>
                <w:color w:val="000000"/>
                <w:sz w:val="24"/>
                <w:szCs w:val="20"/>
              </w:rPr>
              <w:t>小时服务热线，正常工作期间应有专人接听电话，</w:t>
            </w:r>
            <w:r>
              <w:rPr>
                <w:rFonts w:hint="eastAsia" w:ascii="宋体" w:hAnsi="宋体" w:eastAsia="宋体" w:cs="Times New Roman"/>
                <w:sz w:val="24"/>
                <w:szCs w:val="20"/>
              </w:rPr>
              <w:t>非工作时间应提供值班或固定人员，以保证接收校方的请求，并进行响应</w:t>
            </w:r>
          </w:p>
          <w:p w14:paraId="70F24E46">
            <w:pPr>
              <w:snapToGrid w:val="0"/>
              <w:spacing w:line="360" w:lineRule="auto"/>
              <w:jc w:val="left"/>
              <w:rPr>
                <w:rFonts w:hint="eastAsia" w:ascii="宋体" w:hAnsi="宋体" w:eastAsia="宋体" w:cs="Times New Roman"/>
                <w:sz w:val="24"/>
                <w:szCs w:val="20"/>
              </w:rPr>
            </w:pPr>
            <w:r>
              <w:rPr>
                <w:rFonts w:ascii="宋体" w:hAnsi="宋体" w:eastAsia="宋体" w:cs="Times New Roman"/>
                <w:color w:val="000000"/>
                <w:sz w:val="24"/>
                <w:szCs w:val="20"/>
              </w:rPr>
              <w:t>2</w:t>
            </w:r>
            <w:r>
              <w:rPr>
                <w:rFonts w:hint="eastAsia" w:ascii="宋体" w:hAnsi="宋体" w:eastAsia="宋体" w:cs="Times New Roman"/>
                <w:color w:val="000000"/>
                <w:sz w:val="24"/>
                <w:szCs w:val="20"/>
              </w:rPr>
              <w:t>：远程指导服务 服务商应明确服务人员队伍和机制，</w:t>
            </w:r>
            <w:r>
              <w:rPr>
                <w:rFonts w:hint="eastAsia" w:ascii="宋体" w:hAnsi="宋体" w:eastAsia="宋体" w:cs="Times New Roman"/>
                <w:sz w:val="24"/>
                <w:szCs w:val="20"/>
              </w:rPr>
              <w:t>确保在校方系统</w:t>
            </w:r>
          </w:p>
          <w:p w14:paraId="45A6F6FB">
            <w:pPr>
              <w:snapToGrid w:val="0"/>
              <w:spacing w:line="360" w:lineRule="auto"/>
              <w:jc w:val="left"/>
              <w:rPr>
                <w:rFonts w:ascii="宋体" w:hAnsi="宋体" w:eastAsia="宋体" w:cs="Times New Roman"/>
                <w:sz w:val="24"/>
                <w:szCs w:val="20"/>
              </w:rPr>
            </w:pPr>
            <w:r>
              <w:rPr>
                <w:rFonts w:hint="eastAsia" w:ascii="宋体" w:hAnsi="宋体" w:eastAsia="宋体" w:cs="Times New Roman"/>
                <w:sz w:val="24"/>
                <w:szCs w:val="20"/>
              </w:rPr>
              <w:t>故障时可以无间断远程支持并开展故障或服务处理工作，以助于快速定位现场问题，解决校方疑难杂症。</w:t>
            </w:r>
          </w:p>
          <w:p w14:paraId="315DE462">
            <w:pPr>
              <w:snapToGrid w:val="0"/>
              <w:spacing w:line="360" w:lineRule="auto"/>
              <w:jc w:val="left"/>
              <w:rPr>
                <w:rFonts w:ascii="宋体" w:hAnsi="宋体" w:eastAsia="宋体" w:cs="Times New Roman"/>
                <w:sz w:val="24"/>
                <w:szCs w:val="20"/>
              </w:rPr>
            </w:pPr>
            <w:r>
              <w:rPr>
                <w:rFonts w:hint="eastAsia" w:ascii="宋体" w:hAnsi="宋体" w:eastAsia="宋体" w:cs="Times New Roman"/>
                <w:sz w:val="24"/>
                <w:szCs w:val="20"/>
              </w:rPr>
              <w:t>3</w:t>
            </w:r>
            <w:r>
              <w:rPr>
                <w:rFonts w:ascii="宋体" w:hAnsi="宋体" w:eastAsia="宋体" w:cs="Times New Roman"/>
                <w:sz w:val="24"/>
                <w:szCs w:val="20"/>
              </w:rPr>
              <w:t>.</w:t>
            </w:r>
            <w:r>
              <w:rPr>
                <w:rFonts w:hint="eastAsia" w:ascii="宋体" w:hAnsi="宋体" w:eastAsia="宋体" w:cs="Times New Roman"/>
                <w:sz w:val="24"/>
                <w:szCs w:val="20"/>
              </w:rPr>
              <w:t>提供一年</w:t>
            </w:r>
            <w:r>
              <w:rPr>
                <w:rFonts w:ascii="宋体" w:hAnsi="宋体" w:eastAsia="宋体" w:cs="Times New Roman"/>
                <w:sz w:val="24"/>
                <w:szCs w:val="20"/>
              </w:rPr>
              <w:t>2</w:t>
            </w:r>
            <w:r>
              <w:rPr>
                <w:rFonts w:hint="eastAsia" w:ascii="宋体" w:hAnsi="宋体" w:eastAsia="宋体" w:cs="Times New Roman"/>
                <w:sz w:val="24"/>
                <w:szCs w:val="20"/>
              </w:rPr>
              <w:t>次的运维巡检服务。</w:t>
            </w:r>
          </w:p>
        </w:tc>
      </w:tr>
      <w:tr w14:paraId="202E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vAlign w:val="center"/>
          </w:tcPr>
          <w:p w14:paraId="3AA3082C">
            <w:pPr>
              <w:snapToGrid w:val="0"/>
              <w:spacing w:line="360" w:lineRule="auto"/>
              <w:jc w:val="center"/>
              <w:rPr>
                <w:rFonts w:ascii="宋体" w:hAnsi="宋体" w:eastAsia="宋体" w:cs="宋体"/>
                <w:caps/>
                <w:color w:val="000000"/>
                <w:sz w:val="24"/>
                <w:szCs w:val="20"/>
              </w:rPr>
            </w:pPr>
          </w:p>
        </w:tc>
        <w:tc>
          <w:tcPr>
            <w:tcW w:w="1389" w:type="dxa"/>
            <w:vAlign w:val="center"/>
          </w:tcPr>
          <w:p w14:paraId="1B7D4E70">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系统升级维护</w:t>
            </w:r>
          </w:p>
        </w:tc>
        <w:tc>
          <w:tcPr>
            <w:tcW w:w="7726" w:type="dxa"/>
            <w:vAlign w:val="center"/>
          </w:tcPr>
          <w:p w14:paraId="3136D8FC">
            <w:pPr>
              <w:snapToGrid w:val="0"/>
              <w:spacing w:line="360" w:lineRule="auto"/>
              <w:jc w:val="left"/>
              <w:rPr>
                <w:rFonts w:ascii="宋体" w:hAnsi="宋体" w:eastAsia="宋体" w:cs="Times New Roman"/>
                <w:color w:val="000000"/>
                <w:sz w:val="24"/>
                <w:szCs w:val="20"/>
              </w:rPr>
            </w:pPr>
            <w:r>
              <w:rPr>
                <w:rFonts w:hint="eastAsia" w:ascii="宋体" w:hAnsi="宋体" w:eastAsia="宋体" w:cs="Times New Roman"/>
                <w:color w:val="000000"/>
                <w:sz w:val="24"/>
                <w:szCs w:val="20"/>
              </w:rPr>
              <w:t>服务商应确保现场软件版本一直是同版本系统产品的最新版，维保期内应提供产品迭代更新的升级服务</w:t>
            </w:r>
          </w:p>
        </w:tc>
      </w:tr>
      <w:tr w14:paraId="6E59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vAlign w:val="center"/>
          </w:tcPr>
          <w:p w14:paraId="456635E7">
            <w:pPr>
              <w:snapToGrid w:val="0"/>
              <w:spacing w:line="360" w:lineRule="auto"/>
              <w:jc w:val="center"/>
              <w:rPr>
                <w:rFonts w:ascii="宋体" w:hAnsi="宋体" w:eastAsia="宋体" w:cs="宋体"/>
                <w:caps/>
                <w:color w:val="000000"/>
                <w:sz w:val="24"/>
                <w:szCs w:val="20"/>
              </w:rPr>
            </w:pPr>
          </w:p>
        </w:tc>
        <w:tc>
          <w:tcPr>
            <w:tcW w:w="1389" w:type="dxa"/>
            <w:vAlign w:val="center"/>
          </w:tcPr>
          <w:p w14:paraId="7D2EA8DE">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数据备份与恢复</w:t>
            </w:r>
          </w:p>
        </w:tc>
        <w:tc>
          <w:tcPr>
            <w:tcW w:w="7726" w:type="dxa"/>
            <w:vAlign w:val="center"/>
          </w:tcPr>
          <w:p w14:paraId="02115792">
            <w:pPr>
              <w:snapToGrid w:val="0"/>
              <w:spacing w:line="360" w:lineRule="auto"/>
              <w:jc w:val="left"/>
              <w:rPr>
                <w:rFonts w:ascii="宋体" w:hAnsi="宋体" w:eastAsia="宋体" w:cs="Times New Roman"/>
                <w:color w:val="000000"/>
                <w:sz w:val="24"/>
                <w:szCs w:val="20"/>
              </w:rPr>
            </w:pPr>
            <w:r>
              <w:rPr>
                <w:rFonts w:hint="eastAsia" w:ascii="宋体" w:hAnsi="宋体" w:eastAsia="宋体" w:cs="Times New Roman"/>
                <w:color w:val="000000"/>
                <w:sz w:val="24"/>
                <w:szCs w:val="20"/>
              </w:rPr>
              <w:t>服务商应提供完整的备份与恢复机制，并提供备份与恢复的解决方案</w:t>
            </w:r>
          </w:p>
        </w:tc>
      </w:tr>
      <w:tr w14:paraId="3D17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vAlign w:val="center"/>
          </w:tcPr>
          <w:p w14:paraId="6D27BC25">
            <w:pPr>
              <w:snapToGrid w:val="0"/>
              <w:spacing w:line="360" w:lineRule="auto"/>
              <w:jc w:val="center"/>
              <w:rPr>
                <w:rFonts w:ascii="宋体" w:hAnsi="宋体" w:eastAsia="宋体" w:cs="宋体"/>
                <w:caps/>
                <w:color w:val="000000"/>
                <w:sz w:val="24"/>
                <w:szCs w:val="20"/>
              </w:rPr>
            </w:pPr>
          </w:p>
        </w:tc>
        <w:tc>
          <w:tcPr>
            <w:tcW w:w="1389" w:type="dxa"/>
            <w:vAlign w:val="center"/>
          </w:tcPr>
          <w:p w14:paraId="2869C3B7">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系统健康检查服务</w:t>
            </w:r>
          </w:p>
        </w:tc>
        <w:tc>
          <w:tcPr>
            <w:tcW w:w="7726" w:type="dxa"/>
            <w:vAlign w:val="center"/>
          </w:tcPr>
          <w:p w14:paraId="7C860916">
            <w:pPr>
              <w:snapToGrid w:val="0"/>
              <w:spacing w:line="360" w:lineRule="auto"/>
              <w:jc w:val="left"/>
              <w:rPr>
                <w:rFonts w:ascii="宋体" w:hAnsi="宋体" w:eastAsia="宋体" w:cs="Times New Roman"/>
                <w:color w:val="000000"/>
                <w:sz w:val="24"/>
                <w:szCs w:val="20"/>
              </w:rPr>
            </w:pPr>
            <w:r>
              <w:rPr>
                <w:rFonts w:hint="eastAsia" w:ascii="宋体" w:hAnsi="宋体" w:eastAsia="宋体" w:cs="Times New Roman"/>
                <w:color w:val="000000"/>
                <w:sz w:val="24"/>
                <w:szCs w:val="20"/>
              </w:rPr>
              <w:t>服务商应针对软件操作系统、中间件、系统安全、系统运行情况等方面，不定期提供检查报告，使校方能全面了解系统的使用情况和潜在问题，提早预防，避免故障发生。</w:t>
            </w:r>
          </w:p>
        </w:tc>
      </w:tr>
      <w:tr w14:paraId="06EE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vAlign w:val="center"/>
          </w:tcPr>
          <w:p w14:paraId="4AB16DC7">
            <w:pPr>
              <w:snapToGrid w:val="0"/>
              <w:spacing w:line="360" w:lineRule="auto"/>
              <w:jc w:val="center"/>
              <w:rPr>
                <w:rFonts w:ascii="宋体" w:hAnsi="宋体" w:eastAsia="宋体" w:cs="宋体"/>
                <w:caps/>
                <w:color w:val="000000"/>
                <w:sz w:val="24"/>
                <w:szCs w:val="20"/>
              </w:rPr>
            </w:pPr>
          </w:p>
        </w:tc>
        <w:tc>
          <w:tcPr>
            <w:tcW w:w="1389" w:type="dxa"/>
            <w:vAlign w:val="center"/>
          </w:tcPr>
          <w:p w14:paraId="13CD4775">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软件故障分析与处理</w:t>
            </w:r>
          </w:p>
        </w:tc>
        <w:tc>
          <w:tcPr>
            <w:tcW w:w="7726" w:type="dxa"/>
            <w:vAlign w:val="center"/>
          </w:tcPr>
          <w:p w14:paraId="453B1704">
            <w:pPr>
              <w:spacing w:line="360" w:lineRule="auto"/>
              <w:ind w:left="-68"/>
              <w:jc w:val="left"/>
              <w:rPr>
                <w:rFonts w:ascii="宋体" w:hAnsi="宋体" w:eastAsia="宋体" w:cs="Times New Roman"/>
                <w:sz w:val="24"/>
              </w:rPr>
            </w:pPr>
            <w:r>
              <w:rPr>
                <w:rFonts w:hint="eastAsia" w:ascii="宋体" w:hAnsi="宋体" w:eastAsia="宋体" w:cs="Times New Roman"/>
                <w:color w:val="000000"/>
                <w:sz w:val="24"/>
                <w:szCs w:val="20"/>
              </w:rPr>
              <w:t>服务商须提供软件系统的保修服务，并</w:t>
            </w:r>
            <w:r>
              <w:rPr>
                <w:rFonts w:ascii="宋体" w:hAnsi="宋体" w:eastAsia="宋体" w:cs="Times New Roman"/>
                <w:color w:val="000000"/>
                <w:sz w:val="24"/>
                <w:szCs w:val="20"/>
              </w:rPr>
              <w:t>在校方现场的故障</w:t>
            </w:r>
            <w:r>
              <w:rPr>
                <w:rFonts w:hint="eastAsia" w:ascii="宋体" w:hAnsi="宋体" w:eastAsia="宋体" w:cs="Times New Roman"/>
                <w:color w:val="000000"/>
                <w:sz w:val="24"/>
                <w:szCs w:val="20"/>
              </w:rPr>
              <w:t>时</w:t>
            </w:r>
            <w:r>
              <w:rPr>
                <w:rFonts w:ascii="宋体" w:hAnsi="宋体" w:eastAsia="宋体" w:cs="Times New Roman"/>
                <w:color w:val="000000"/>
                <w:sz w:val="24"/>
                <w:szCs w:val="20"/>
              </w:rPr>
              <w:t>及时响应</w:t>
            </w:r>
            <w:r>
              <w:rPr>
                <w:rFonts w:hint="eastAsia" w:ascii="宋体" w:hAnsi="宋体" w:eastAsia="宋体" w:cs="Times New Roman"/>
                <w:color w:val="000000"/>
                <w:sz w:val="24"/>
                <w:szCs w:val="20"/>
              </w:rPr>
              <w:t>并</w:t>
            </w:r>
            <w:r>
              <w:rPr>
                <w:rFonts w:ascii="宋体" w:hAnsi="宋体" w:eastAsia="宋体" w:cs="Times New Roman"/>
                <w:color w:val="000000"/>
                <w:sz w:val="24"/>
                <w:szCs w:val="20"/>
              </w:rPr>
              <w:t>分析判断</w:t>
            </w:r>
            <w:r>
              <w:rPr>
                <w:rFonts w:hint="eastAsia" w:ascii="宋体" w:hAnsi="宋体" w:eastAsia="宋体" w:cs="Times New Roman"/>
                <w:color w:val="000000"/>
                <w:sz w:val="24"/>
                <w:szCs w:val="20"/>
              </w:rPr>
              <w:t>产</w:t>
            </w:r>
            <w:r>
              <w:rPr>
                <w:rFonts w:ascii="宋体" w:hAnsi="宋体" w:eastAsia="宋体" w:cs="Times New Roman"/>
                <w:color w:val="000000"/>
                <w:sz w:val="24"/>
                <w:szCs w:val="20"/>
              </w:rPr>
              <w:t>生的原因</w:t>
            </w:r>
            <w:r>
              <w:rPr>
                <w:rFonts w:hint="eastAsia" w:ascii="宋体" w:hAnsi="宋体" w:eastAsia="宋体" w:cs="Times New Roman"/>
                <w:color w:val="000000"/>
                <w:sz w:val="24"/>
                <w:szCs w:val="20"/>
              </w:rPr>
              <w:t>，涉及</w:t>
            </w:r>
            <w:r>
              <w:rPr>
                <w:rFonts w:ascii="宋体" w:hAnsi="宋体" w:eastAsia="宋体" w:cs="Times New Roman"/>
                <w:color w:val="000000"/>
                <w:sz w:val="24"/>
                <w:szCs w:val="20"/>
              </w:rPr>
              <w:t>非</w:t>
            </w:r>
            <w:r>
              <w:rPr>
                <w:rFonts w:hint="eastAsia" w:ascii="宋体" w:hAnsi="宋体" w:eastAsia="宋体" w:cs="Times New Roman"/>
                <w:color w:val="000000"/>
                <w:sz w:val="24"/>
                <w:szCs w:val="20"/>
              </w:rPr>
              <w:t>服务商</w:t>
            </w:r>
            <w:r>
              <w:rPr>
                <w:rFonts w:ascii="宋体" w:hAnsi="宋体" w:eastAsia="宋体" w:cs="Times New Roman"/>
                <w:color w:val="000000"/>
                <w:sz w:val="24"/>
                <w:szCs w:val="20"/>
              </w:rPr>
              <w:t>软件的原因的，</w:t>
            </w:r>
            <w:r>
              <w:rPr>
                <w:rFonts w:hint="eastAsia" w:ascii="宋体" w:hAnsi="宋体" w:eastAsia="宋体" w:cs="Times New Roman"/>
                <w:color w:val="000000"/>
                <w:sz w:val="24"/>
                <w:szCs w:val="20"/>
              </w:rPr>
              <w:t>需要</w:t>
            </w:r>
            <w:r>
              <w:rPr>
                <w:rFonts w:ascii="宋体" w:hAnsi="宋体" w:eastAsia="宋体" w:cs="Times New Roman"/>
                <w:color w:val="000000"/>
                <w:sz w:val="24"/>
                <w:szCs w:val="20"/>
              </w:rPr>
              <w:t>给出处理方案并在校方组织下配合解决</w:t>
            </w:r>
            <w:r>
              <w:rPr>
                <w:rFonts w:hint="eastAsia" w:ascii="宋体" w:hAnsi="宋体" w:eastAsia="宋体" w:cs="Times New Roman"/>
                <w:color w:val="000000"/>
                <w:sz w:val="24"/>
                <w:szCs w:val="20"/>
              </w:rPr>
              <w:t>。故障须按严重程序定义不同的级别，并设立响应和处理基线，以作为服务交付的水平协议。</w:t>
            </w:r>
          </w:p>
        </w:tc>
      </w:tr>
      <w:tr w14:paraId="4D37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vAlign w:val="center"/>
          </w:tcPr>
          <w:p w14:paraId="1075DB8E">
            <w:pPr>
              <w:snapToGrid w:val="0"/>
              <w:spacing w:line="360" w:lineRule="auto"/>
              <w:jc w:val="center"/>
              <w:rPr>
                <w:rFonts w:ascii="宋体" w:hAnsi="宋体" w:eastAsia="宋体" w:cs="宋体"/>
                <w:caps/>
                <w:color w:val="000000"/>
                <w:sz w:val="24"/>
                <w:szCs w:val="20"/>
              </w:rPr>
            </w:pPr>
          </w:p>
        </w:tc>
        <w:tc>
          <w:tcPr>
            <w:tcW w:w="1389" w:type="dxa"/>
            <w:vAlign w:val="center"/>
          </w:tcPr>
          <w:p w14:paraId="147481E6">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文档服务</w:t>
            </w:r>
          </w:p>
        </w:tc>
        <w:tc>
          <w:tcPr>
            <w:tcW w:w="7726" w:type="dxa"/>
            <w:vAlign w:val="center"/>
          </w:tcPr>
          <w:p w14:paraId="54A80794">
            <w:pPr>
              <w:spacing w:line="360" w:lineRule="auto"/>
              <w:ind w:left="-68"/>
              <w:jc w:val="left"/>
              <w:rPr>
                <w:rFonts w:ascii="宋体" w:hAnsi="宋体" w:eastAsia="宋体" w:cs="Times New Roman"/>
                <w:sz w:val="24"/>
              </w:rPr>
            </w:pPr>
            <w:r>
              <w:rPr>
                <w:rFonts w:hint="eastAsia" w:ascii="宋体" w:hAnsi="宋体" w:eastAsia="宋体" w:cs="Times New Roman"/>
                <w:color w:val="000000"/>
                <w:sz w:val="24"/>
                <w:szCs w:val="20"/>
              </w:rPr>
              <w:t>服务商需要提供使用手册、技术手册、服务报告等文档服务。文档服务是知识转移和传递的有效途径，服务商应建立相关的系统，进行服务文档的管理与维护，保证文档的时效性。</w:t>
            </w:r>
          </w:p>
        </w:tc>
      </w:tr>
      <w:tr w14:paraId="6DE1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vAlign w:val="center"/>
          </w:tcPr>
          <w:p w14:paraId="6C0247CF">
            <w:pPr>
              <w:snapToGrid w:val="0"/>
              <w:spacing w:line="360" w:lineRule="auto"/>
              <w:jc w:val="center"/>
              <w:rPr>
                <w:rFonts w:ascii="宋体" w:hAnsi="宋体" w:eastAsia="宋体" w:cs="宋体"/>
                <w:caps/>
                <w:color w:val="000000"/>
                <w:sz w:val="24"/>
                <w:szCs w:val="20"/>
              </w:rPr>
            </w:pPr>
          </w:p>
        </w:tc>
        <w:tc>
          <w:tcPr>
            <w:tcW w:w="1389" w:type="dxa"/>
            <w:vAlign w:val="center"/>
          </w:tcPr>
          <w:p w14:paraId="2E89C28B">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网站安全防护及修复</w:t>
            </w:r>
          </w:p>
        </w:tc>
        <w:tc>
          <w:tcPr>
            <w:tcW w:w="7726" w:type="dxa"/>
            <w:vAlign w:val="center"/>
          </w:tcPr>
          <w:p w14:paraId="75F90929">
            <w:pPr>
              <w:spacing w:line="360" w:lineRule="auto"/>
              <w:rPr>
                <w:rFonts w:ascii="宋体" w:hAnsi="宋体" w:eastAsia="宋体" w:cs="Times New Roman"/>
                <w:sz w:val="24"/>
                <w:szCs w:val="20"/>
              </w:rPr>
            </w:pPr>
            <w:r>
              <w:rPr>
                <w:rFonts w:hint="eastAsia" w:ascii="宋体" w:hAnsi="宋体" w:eastAsia="宋体" w:cs="Times New Roman"/>
                <w:sz w:val="24"/>
                <w:szCs w:val="20"/>
              </w:rPr>
              <w:t>服务商协助校方完成软件平台上所有网站安全防护工作，对于第三方专业公司扫描发现的漏洞问题，应根据严重程度逐步进行修复，保证用户的资产安全。</w:t>
            </w:r>
          </w:p>
        </w:tc>
      </w:tr>
      <w:tr w14:paraId="1DCE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vAlign w:val="center"/>
          </w:tcPr>
          <w:p w14:paraId="7CFAA407">
            <w:pPr>
              <w:snapToGrid w:val="0"/>
              <w:spacing w:line="360" w:lineRule="auto"/>
              <w:jc w:val="center"/>
              <w:rPr>
                <w:rFonts w:ascii="宋体" w:hAnsi="宋体" w:eastAsia="宋体" w:cs="宋体"/>
                <w:caps/>
                <w:color w:val="000000"/>
                <w:sz w:val="24"/>
                <w:szCs w:val="20"/>
              </w:rPr>
            </w:pPr>
          </w:p>
        </w:tc>
        <w:tc>
          <w:tcPr>
            <w:tcW w:w="1389" w:type="dxa"/>
            <w:vAlign w:val="center"/>
          </w:tcPr>
          <w:p w14:paraId="3673A0BF">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BUG修复服务</w:t>
            </w:r>
          </w:p>
        </w:tc>
        <w:tc>
          <w:tcPr>
            <w:tcW w:w="7726" w:type="dxa"/>
            <w:vAlign w:val="center"/>
          </w:tcPr>
          <w:p w14:paraId="0CEA9123">
            <w:pPr>
              <w:spacing w:line="360" w:lineRule="auto"/>
              <w:rPr>
                <w:rFonts w:ascii="宋体" w:hAnsi="宋体" w:eastAsia="宋体" w:cs="Times New Roman"/>
                <w:color w:val="000000"/>
                <w:sz w:val="24"/>
                <w:szCs w:val="20"/>
              </w:rPr>
            </w:pPr>
            <w:r>
              <w:rPr>
                <w:rFonts w:hint="eastAsia" w:ascii="宋体" w:hAnsi="宋体" w:eastAsia="宋体" w:cs="Times New Roman"/>
                <w:sz w:val="24"/>
                <w:szCs w:val="20"/>
              </w:rPr>
              <w:t>服务商应对服务范围内的软件产品与系统提供免费的BUG修复支持。</w:t>
            </w:r>
          </w:p>
        </w:tc>
      </w:tr>
      <w:tr w14:paraId="719E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vAlign w:val="center"/>
          </w:tcPr>
          <w:p w14:paraId="1BB80139">
            <w:pPr>
              <w:snapToGrid w:val="0"/>
              <w:spacing w:line="360" w:lineRule="auto"/>
              <w:jc w:val="center"/>
              <w:rPr>
                <w:rFonts w:ascii="宋体" w:hAnsi="宋体" w:eastAsia="宋体" w:cs="宋体"/>
                <w:caps/>
                <w:color w:val="000000"/>
                <w:sz w:val="24"/>
                <w:szCs w:val="20"/>
              </w:rPr>
            </w:pPr>
          </w:p>
        </w:tc>
        <w:tc>
          <w:tcPr>
            <w:tcW w:w="1389" w:type="dxa"/>
            <w:vAlign w:val="center"/>
          </w:tcPr>
          <w:p w14:paraId="7D13B3D5">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其他</w:t>
            </w:r>
          </w:p>
        </w:tc>
        <w:tc>
          <w:tcPr>
            <w:tcW w:w="7726" w:type="dxa"/>
            <w:vAlign w:val="center"/>
          </w:tcPr>
          <w:p w14:paraId="77E6E132">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1：服务商应配合校方提供完备的操作日志管理，支持日志的异地备份。</w:t>
            </w:r>
          </w:p>
          <w:p w14:paraId="6F5A2DE0">
            <w:pPr>
              <w:snapToGrid w:val="0"/>
              <w:spacing w:line="360" w:lineRule="auto"/>
              <w:rPr>
                <w:rFonts w:ascii="宋体" w:hAnsi="宋体" w:eastAsia="宋体" w:cs="Times New Roman"/>
                <w:color w:val="000000"/>
                <w:sz w:val="24"/>
                <w:szCs w:val="20"/>
              </w:rPr>
            </w:pPr>
            <w:r>
              <w:rPr>
                <w:rFonts w:hint="eastAsia" w:ascii="宋体" w:hAnsi="宋体" w:eastAsia="宋体" w:cs="Times New Roman"/>
                <w:color w:val="000000"/>
                <w:sz w:val="24"/>
                <w:szCs w:val="20"/>
              </w:rPr>
              <w:t>2：</w:t>
            </w:r>
            <w:r>
              <w:rPr>
                <w:rFonts w:hint="eastAsia" w:ascii="宋体" w:hAnsi="宋体" w:eastAsia="宋体" w:cs="Times New Roman"/>
                <w:sz w:val="24"/>
                <w:szCs w:val="20"/>
              </w:rPr>
              <w:t>维保期内，服务商需根据需要配合校方完成服务器迁移。3：国家重大安全事件期间，服务商应提供专人值守服务，确保软件平台运行正常。</w:t>
            </w:r>
          </w:p>
        </w:tc>
      </w:tr>
    </w:tbl>
    <w:p w14:paraId="387E8F6F">
      <w:pPr>
        <w:pStyle w:val="16"/>
        <w:snapToGrid w:val="0"/>
        <w:spacing w:line="400" w:lineRule="exact"/>
        <w:ind w:firstLine="482" w:firstLineChars="200"/>
        <w:rPr>
          <w:rFonts w:hint="default" w:hAnsi="宋体"/>
          <w:b/>
          <w:bCs/>
          <w:color w:val="auto"/>
          <w:lang w:val="en-US" w:bidi="zh-CN"/>
        </w:rPr>
      </w:pPr>
      <w:r>
        <w:rPr>
          <w:rFonts w:hint="eastAsia" w:hAnsi="宋体"/>
          <w:b/>
          <w:bCs/>
          <w:color w:val="auto"/>
          <w:lang w:val="en-US" w:bidi="zh-CN"/>
        </w:rPr>
        <w:t xml:space="preserve"> </w:t>
      </w:r>
    </w:p>
    <w:p w14:paraId="4834FBFF">
      <w:pPr>
        <w:rPr>
          <w:rFonts w:hint="eastAsia" w:ascii="仿宋" w:hAnsi="仿宋" w:eastAsia="仿宋" w:cs="仿宋"/>
          <w:b/>
          <w:bCs/>
        </w:rPr>
      </w:pPr>
      <w:r>
        <w:rPr>
          <w:rFonts w:hint="eastAsia"/>
        </w:rPr>
        <w:t xml:space="preserve"> </w:t>
      </w:r>
    </w:p>
    <w:p w14:paraId="024191CA">
      <w:pPr>
        <w:pStyle w:val="16"/>
        <w:snapToGrid w:val="0"/>
        <w:spacing w:line="400" w:lineRule="exact"/>
        <w:ind w:firstLine="482" w:firstLineChars="200"/>
        <w:jc w:val="both"/>
        <w:rPr>
          <w:rFonts w:hint="eastAsia" w:hAnsi="宋体"/>
          <w:color w:val="auto"/>
          <w:highlight w:val="none"/>
          <w:lang w:bidi="zh-CN"/>
        </w:rPr>
      </w:pPr>
      <w:r>
        <w:rPr>
          <w:rFonts w:hint="eastAsia" w:hAnsi="宋体"/>
          <w:b/>
          <w:bCs/>
          <w:color w:val="auto"/>
          <w:highlight w:val="none"/>
          <w:lang w:val="en-US" w:bidi="zh-CN"/>
        </w:rPr>
        <w:t>六</w:t>
      </w:r>
      <w:r>
        <w:rPr>
          <w:rFonts w:hint="eastAsia" w:hAnsi="宋体"/>
          <w:b/>
          <w:bCs/>
          <w:color w:val="auto"/>
          <w:highlight w:val="none"/>
          <w:lang w:bidi="zh-CN"/>
        </w:rPr>
        <w:t>、</w:t>
      </w:r>
      <w:r>
        <w:rPr>
          <w:rFonts w:hint="eastAsia" w:hAnsi="宋体"/>
          <w:b/>
          <w:bCs/>
          <w:color w:val="auto"/>
          <w:highlight w:val="none"/>
          <w:lang w:val="en-US" w:bidi="zh-CN"/>
        </w:rPr>
        <w:t>维保</w:t>
      </w:r>
      <w:r>
        <w:rPr>
          <w:rFonts w:hint="eastAsia" w:hAnsi="宋体"/>
          <w:b/>
          <w:bCs/>
          <w:color w:val="auto"/>
          <w:highlight w:val="none"/>
          <w:lang w:bidi="zh-CN"/>
        </w:rPr>
        <w:t>期限</w:t>
      </w:r>
      <w:r>
        <w:rPr>
          <w:rFonts w:hint="eastAsia" w:hAnsi="宋体"/>
          <w:highlight w:val="none"/>
        </w:rPr>
        <w:t>：</w:t>
      </w:r>
      <w:r>
        <w:rPr>
          <w:rFonts w:hint="eastAsia" w:hAnsi="宋体"/>
          <w:highlight w:val="none"/>
          <w:u w:val="single"/>
          <w:lang w:val="en-US" w:eastAsia="zh-CN"/>
        </w:rPr>
        <w:t xml:space="preserve"> 二 </w:t>
      </w:r>
      <w:r>
        <w:rPr>
          <w:rFonts w:hint="eastAsia" w:hAnsi="宋体"/>
          <w:highlight w:val="none"/>
        </w:rPr>
        <w:t>年，</w:t>
      </w:r>
      <w:r>
        <w:rPr>
          <w:rFonts w:hint="eastAsia" w:hAnsi="宋体"/>
          <w:highlight w:val="none"/>
          <w:lang w:val="en-US" w:eastAsia="zh-CN"/>
        </w:rPr>
        <w:t>维保期自合同签订</w:t>
      </w:r>
      <w:r>
        <w:rPr>
          <w:rFonts w:hint="eastAsia" w:hAnsi="宋体"/>
          <w:highlight w:val="none"/>
        </w:rPr>
        <w:t>之日起计算。</w:t>
      </w:r>
    </w:p>
    <w:p w14:paraId="34EF9099">
      <w:pPr>
        <w:pStyle w:val="16"/>
        <w:snapToGrid w:val="0"/>
        <w:spacing w:line="400" w:lineRule="exact"/>
        <w:ind w:left="482"/>
        <w:jc w:val="both"/>
        <w:rPr>
          <w:rFonts w:hint="eastAsia" w:hAnsi="宋体"/>
          <w:color w:val="auto"/>
          <w:highlight w:val="none"/>
          <w:lang w:val="en-US" w:bidi="zh-CN"/>
        </w:rPr>
      </w:pPr>
      <w:r>
        <w:rPr>
          <w:rFonts w:hint="eastAsia" w:hAnsi="宋体"/>
          <w:b/>
          <w:bCs/>
          <w:color w:val="auto"/>
          <w:highlight w:val="none"/>
          <w:lang w:val="en-US" w:bidi="zh-CN"/>
        </w:rPr>
        <w:t>七</w:t>
      </w:r>
      <w:r>
        <w:rPr>
          <w:rFonts w:hint="eastAsia" w:hAnsi="宋体"/>
          <w:b/>
          <w:bCs/>
          <w:color w:val="auto"/>
          <w:highlight w:val="none"/>
          <w:lang w:bidi="zh-CN"/>
        </w:rPr>
        <w:t>、付款方式：</w:t>
      </w:r>
      <w:r>
        <w:rPr>
          <w:rFonts w:hint="eastAsia" w:hAnsi="宋体"/>
          <w:color w:val="auto"/>
          <w:highlight w:val="none"/>
          <w:lang w:val="en-US" w:bidi="zh-CN"/>
        </w:rPr>
        <w:t>合同生效之日起12个月后10个工作日内支付合同额的50%，合同期满后10个工作日内支付合同额的50%。</w:t>
      </w:r>
    </w:p>
    <w:p w14:paraId="3A8343E3">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八</w:t>
      </w:r>
      <w:r>
        <w:rPr>
          <w:rFonts w:hint="eastAsia" w:hAnsi="宋体"/>
          <w:b/>
          <w:bCs/>
          <w:color w:val="auto"/>
          <w:highlight w:val="none"/>
          <w:lang w:bidi="zh-CN"/>
        </w:rPr>
        <w:t>、投标文件的编制和提交</w:t>
      </w:r>
    </w:p>
    <w:p w14:paraId="58D029EA">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1"/>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十一、投标文件递交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（一）投标截止时间：202</w:t>
      </w:r>
      <w:r>
        <w:rPr>
          <w:rFonts w:hint="eastAsia"/>
          <w:sz w:val="24"/>
          <w:szCs w:val="24"/>
          <w:lang w:val="en-US"/>
        </w:rPr>
        <w:t>5</w:t>
      </w:r>
      <w:r>
        <w:rPr>
          <w:rFonts w:hint="eastAsia"/>
          <w:sz w:val="24"/>
          <w:szCs w:val="24"/>
        </w:rPr>
        <w:t>年</w:t>
      </w:r>
      <w:r>
        <w:rPr>
          <w:rFonts w:hint="default"/>
          <w:sz w:val="24"/>
          <w:szCs w:val="24"/>
          <w:lang w:val="en-US"/>
        </w:rPr>
        <w:t>4</w:t>
      </w:r>
      <w:r>
        <w:rPr>
          <w:rFonts w:hint="eastAsia"/>
          <w:sz w:val="24"/>
          <w:szCs w:val="24"/>
        </w:rPr>
        <w:t>月</w:t>
      </w:r>
      <w:r>
        <w:rPr>
          <w:rFonts w:hint="eastAsia"/>
          <w:sz w:val="24"/>
          <w:szCs w:val="24"/>
          <w:lang w:val="en-US" w:eastAsia="zh-CN"/>
        </w:rPr>
        <w:t>8</w:t>
      </w:r>
      <w:r>
        <w:rPr>
          <w:rFonts w:hint="eastAsia"/>
          <w:sz w:val="24"/>
          <w:szCs w:val="24"/>
        </w:rPr>
        <w:t>日</w:t>
      </w:r>
      <w:r>
        <w:rPr>
          <w:rFonts w:hint="eastAsia"/>
          <w:sz w:val="24"/>
          <w:szCs w:val="24"/>
          <w:lang w:val="en-US"/>
        </w:rPr>
        <w:t>10</w:t>
      </w:r>
      <w:r>
        <w:rPr>
          <w:rFonts w:hint="eastAsia"/>
          <w:sz w:val="24"/>
          <w:szCs w:val="24"/>
        </w:rPr>
        <w:t>:00（北京时间）。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（二）递交方式一：请于202</w:t>
      </w:r>
      <w:r>
        <w:rPr>
          <w:rFonts w:hint="eastAsia"/>
          <w:sz w:val="24"/>
          <w:szCs w:val="24"/>
          <w:lang w:val="en-US"/>
        </w:rPr>
        <w:t>5</w:t>
      </w:r>
      <w:r>
        <w:rPr>
          <w:rFonts w:hint="eastAsia"/>
          <w:sz w:val="24"/>
          <w:szCs w:val="24"/>
        </w:rPr>
        <w:t>年</w:t>
      </w:r>
      <w:r>
        <w:rPr>
          <w:rFonts w:hint="default"/>
          <w:sz w:val="24"/>
          <w:szCs w:val="24"/>
          <w:lang w:val="en-US"/>
        </w:rPr>
        <w:t>4</w:t>
      </w:r>
      <w:r>
        <w:rPr>
          <w:rFonts w:hint="eastAsia"/>
          <w:sz w:val="24"/>
          <w:szCs w:val="24"/>
        </w:rPr>
        <w:t>月</w:t>
      </w:r>
      <w:r>
        <w:rPr>
          <w:rFonts w:hint="eastAsia"/>
          <w:sz w:val="24"/>
          <w:szCs w:val="24"/>
          <w:lang w:val="en-US" w:eastAsia="zh-CN"/>
        </w:rPr>
        <w:t>8</w:t>
      </w:r>
      <w:r>
        <w:rPr>
          <w:rFonts w:hint="eastAsia"/>
          <w:sz w:val="24"/>
          <w:szCs w:val="24"/>
        </w:rPr>
        <w:t>日</w:t>
      </w:r>
      <w:r>
        <w:rPr>
          <w:rFonts w:hint="eastAsia"/>
          <w:sz w:val="24"/>
          <w:szCs w:val="24"/>
          <w:lang w:val="en-US"/>
        </w:rPr>
        <w:t>10</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，邮寄接收截止时间：202</w:t>
      </w:r>
      <w:r>
        <w:rPr>
          <w:rFonts w:hint="eastAsia"/>
          <w:sz w:val="24"/>
          <w:szCs w:val="24"/>
          <w:lang w:val="en-US"/>
        </w:rPr>
        <w:t>5</w:t>
      </w:r>
      <w:r>
        <w:rPr>
          <w:rFonts w:hint="eastAsia"/>
          <w:sz w:val="24"/>
          <w:szCs w:val="24"/>
        </w:rPr>
        <w:t>年</w:t>
      </w:r>
      <w:r>
        <w:rPr>
          <w:rFonts w:hint="default"/>
          <w:sz w:val="24"/>
          <w:szCs w:val="24"/>
          <w:lang w:val="en-US"/>
        </w:rPr>
        <w:t>4</w:t>
      </w:r>
      <w:r>
        <w:rPr>
          <w:rFonts w:hint="eastAsia"/>
          <w:sz w:val="24"/>
          <w:szCs w:val="24"/>
        </w:rPr>
        <w:t>月</w:t>
      </w:r>
      <w:r>
        <w:rPr>
          <w:rFonts w:hint="eastAsia"/>
          <w:sz w:val="24"/>
          <w:szCs w:val="24"/>
          <w:lang w:val="en-US" w:eastAsia="zh-CN"/>
        </w:rPr>
        <w:t>8</w:t>
      </w:r>
      <w:r>
        <w:rPr>
          <w:rFonts w:hint="eastAsia"/>
          <w:sz w:val="24"/>
          <w:szCs w:val="24"/>
        </w:rPr>
        <w:t>日1</w:t>
      </w:r>
      <w:r>
        <w:rPr>
          <w:rFonts w:hint="eastAsia"/>
          <w:sz w:val="24"/>
          <w:szCs w:val="24"/>
          <w:lang w:val="en-US"/>
        </w:rPr>
        <w:t>0</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none"/>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val="en-US" w:eastAsia="zh-CN"/>
        </w:rPr>
        <w:t xml:space="preserve"> 薛</w:t>
      </w:r>
      <w:r>
        <w:rPr>
          <w:rFonts w:hint="eastAsia"/>
          <w:sz w:val="24"/>
          <w:szCs w:val="24"/>
          <w:highlight w:val="none"/>
        </w:rPr>
        <w:t xml:space="preserve">老师 </w:t>
      </w:r>
      <w:r>
        <w:rPr>
          <w:rFonts w:hint="eastAsia"/>
          <w:sz w:val="24"/>
          <w:szCs w:val="24"/>
          <w:highlight w:val="none"/>
          <w:lang w:val="en-US" w:eastAsia="zh-CN"/>
        </w:rPr>
        <w:t>13584547617</w:t>
      </w:r>
      <w:r>
        <w:rPr>
          <w:rFonts w:hint="eastAsia"/>
          <w:sz w:val="24"/>
          <w:szCs w:val="24"/>
          <w:highlight w:val="none"/>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十二、评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rPr>
      </w:pPr>
      <w:r>
        <w:rPr>
          <w:rFonts w:hint="eastAsia"/>
          <w:sz w:val="24"/>
          <w:szCs w:val="24"/>
        </w:rPr>
        <w:t>2．成交原则：在符合采购需求、质量和服务等单要求且报价未超过最高限价为前提下，以提出综合得分最低投标报价的响应单位为成交供应商。若综合得分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十三、</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十四、</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40823F07">
      <w:pPr>
        <w:pStyle w:val="16"/>
        <w:snapToGrid w:val="0"/>
        <w:spacing w:line="360" w:lineRule="exact"/>
        <w:jc w:val="right"/>
        <w:rPr>
          <w:rFonts w:hint="eastAsia" w:hAnsi="宋体"/>
          <w:color w:val="auto"/>
          <w:lang w:val="zh-CN" w:bidi="zh-CN"/>
        </w:rPr>
      </w:pPr>
    </w:p>
    <w:p w14:paraId="0DEF1053">
      <w:pPr>
        <w:pStyle w:val="16"/>
        <w:snapToGrid w:val="0"/>
        <w:spacing w:line="360" w:lineRule="exact"/>
        <w:jc w:val="right"/>
        <w:rPr>
          <w:rFonts w:hint="eastAsia" w:hAnsi="宋体"/>
          <w:color w:val="auto"/>
          <w:lang w:val="zh-CN" w:bidi="zh-CN"/>
        </w:rPr>
      </w:pPr>
    </w:p>
    <w:p w14:paraId="7E9A889F">
      <w:pPr>
        <w:pStyle w:val="16"/>
        <w:snapToGrid w:val="0"/>
        <w:spacing w:line="360" w:lineRule="exact"/>
        <w:jc w:val="right"/>
        <w:rPr>
          <w:rFonts w:hint="eastAsia" w:hAnsi="宋体"/>
          <w:color w:val="auto"/>
          <w:lang w:val="zh-CN" w:bidi="zh-CN"/>
        </w:rPr>
      </w:pPr>
    </w:p>
    <w:p w14:paraId="11193583">
      <w:pPr>
        <w:pStyle w:val="16"/>
        <w:snapToGrid w:val="0"/>
        <w:spacing w:line="360" w:lineRule="exact"/>
        <w:jc w:val="right"/>
        <w:rPr>
          <w:rFonts w:hint="eastAsia" w:hAnsi="宋体"/>
          <w:color w:val="auto"/>
          <w:lang w:val="zh-CN" w:bidi="zh-CN"/>
        </w:rPr>
      </w:pPr>
    </w:p>
    <w:p w14:paraId="6D7C8A47">
      <w:pPr>
        <w:pStyle w:val="16"/>
        <w:snapToGrid w:val="0"/>
        <w:spacing w:line="360" w:lineRule="exact"/>
        <w:jc w:val="right"/>
        <w:rPr>
          <w:rFonts w:hint="eastAsia" w:hAnsi="宋体"/>
          <w:color w:val="auto"/>
          <w:lang w:val="zh-CN" w:bidi="zh-CN"/>
        </w:rPr>
      </w:pPr>
    </w:p>
    <w:p w14:paraId="6CFE62EA">
      <w:pPr>
        <w:pStyle w:val="16"/>
        <w:snapToGrid w:val="0"/>
        <w:spacing w:line="360" w:lineRule="exact"/>
        <w:jc w:val="right"/>
        <w:rPr>
          <w:rFonts w:hint="eastAsia" w:hAnsi="宋体"/>
          <w:color w:val="auto"/>
          <w:lang w:val="zh-CN" w:bidi="zh-CN"/>
        </w:rPr>
      </w:pPr>
    </w:p>
    <w:p w14:paraId="11FC071B">
      <w:pPr>
        <w:pStyle w:val="16"/>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6"/>
        <w:snapToGrid w:val="0"/>
        <w:spacing w:line="360" w:lineRule="exact"/>
        <w:jc w:val="both"/>
        <w:rPr>
          <w:rFonts w:hint="eastAsia" w:hAnsi="宋体"/>
          <w:color w:val="auto"/>
          <w:lang w:val="zh-CN" w:bidi="zh-CN"/>
        </w:rPr>
      </w:pPr>
    </w:p>
    <w:p w14:paraId="55A24869">
      <w:pPr>
        <w:pStyle w:val="16"/>
        <w:snapToGrid w:val="0"/>
        <w:spacing w:line="360" w:lineRule="exact"/>
        <w:jc w:val="right"/>
        <w:rPr>
          <w:rFonts w:hint="eastAsia"/>
          <w:b/>
          <w:sz w:val="24"/>
          <w:szCs w:val="24"/>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Ansi="宋体"/>
          <w:color w:val="auto"/>
          <w:lang w:bidi="zh-CN"/>
        </w:rPr>
        <w:t xml:space="preserve"> </w:t>
      </w:r>
      <w:r>
        <w:rPr>
          <w:rFonts w:hint="eastAsia" w:hAnsi="宋体"/>
          <w:color w:val="auto"/>
          <w:lang w:val="en-US" w:bidi="zh-CN"/>
        </w:rPr>
        <w:t>4</w:t>
      </w:r>
      <w:r>
        <w:rPr>
          <w:rFonts w:hint="eastAsia" w:hAnsi="宋体"/>
          <w:color w:val="auto"/>
          <w:lang w:val="zh-CN" w:bidi="zh-CN"/>
        </w:rPr>
        <w:t>月</w:t>
      </w:r>
      <w:r>
        <w:rPr>
          <w:rFonts w:hint="eastAsia" w:hAnsi="宋体"/>
          <w:color w:val="auto"/>
          <w:lang w:val="en-US" w:bidi="zh-CN"/>
        </w:rPr>
        <w:t>1</w:t>
      </w:r>
      <w:r>
        <w:rPr>
          <w:rFonts w:hAnsi="宋体"/>
          <w:color w:val="auto"/>
          <w:lang w:bidi="zh-CN"/>
        </w:rPr>
        <w:t xml:space="preserve"> </w:t>
      </w:r>
      <w:r>
        <w:rPr>
          <w:rFonts w:hint="eastAsia" w:hAnsi="宋体"/>
          <w:color w:val="auto"/>
          <w:lang w:val="zh-CN" w:bidi="zh-CN"/>
        </w:rPr>
        <w:t>日</w:t>
      </w:r>
      <w:bookmarkStart w:id="0" w:name="_Toc308700881"/>
    </w:p>
    <w:p w14:paraId="7D5DB0AE">
      <w:pPr>
        <w:rPr>
          <w:rFonts w:hint="eastAsia"/>
          <w:b/>
          <w:sz w:val="24"/>
          <w:szCs w:val="24"/>
        </w:rPr>
      </w:pPr>
      <w:r>
        <w:rPr>
          <w:rFonts w:hint="eastAsia"/>
          <w:b/>
          <w:sz w:val="24"/>
          <w:szCs w:val="24"/>
        </w:rPr>
        <w:br w:type="page"/>
      </w:r>
    </w:p>
    <w:p w14:paraId="1912C13B">
      <w:pPr>
        <w:spacing w:line="420" w:lineRule="exact"/>
        <w:rPr>
          <w:rFonts w:hint="eastAsia"/>
          <w:b/>
          <w:sz w:val="24"/>
          <w:szCs w:val="24"/>
        </w:rPr>
      </w:pPr>
    </w:p>
    <w:p w14:paraId="46C02A58">
      <w:pPr>
        <w:spacing w:line="420" w:lineRule="exact"/>
        <w:rPr>
          <w:rFonts w:hint="eastAsia"/>
          <w:b/>
          <w:sz w:val="24"/>
          <w:szCs w:val="24"/>
        </w:rPr>
      </w:pPr>
      <w:r>
        <w:rPr>
          <w:rFonts w:hint="eastAsia"/>
          <w:b/>
          <w:sz w:val="24"/>
          <w:szCs w:val="24"/>
        </w:rPr>
        <w:t>十</w:t>
      </w:r>
      <w:r>
        <w:rPr>
          <w:rFonts w:hint="eastAsia"/>
          <w:b/>
          <w:sz w:val="24"/>
          <w:szCs w:val="24"/>
          <w:lang w:val="en-US"/>
        </w:rPr>
        <w:t>四</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4"/>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rPr>
          <w:rFonts w:hint="eastAsia"/>
          <w:b/>
          <w:bCs/>
          <w:sz w:val="24"/>
          <w:szCs w:val="24"/>
        </w:rPr>
      </w:pPr>
      <w:r>
        <w:rPr>
          <w:rFonts w:hint="eastAsia"/>
          <w:b/>
          <w:bCs/>
          <w:sz w:val="24"/>
          <w:szCs w:val="24"/>
        </w:rPr>
        <w:br w:type="page"/>
      </w:r>
    </w:p>
    <w:p w14:paraId="5FDCF8F1">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6"/>
        <w:rPr>
          <w:rFonts w:hint="eastAsia" w:hAnsi="宋体"/>
        </w:rPr>
      </w:pPr>
    </w:p>
    <w:p w14:paraId="543DE6F3">
      <w:pPr>
        <w:pStyle w:val="16"/>
        <w:rPr>
          <w:rFonts w:hint="eastAsia" w:hAnsi="宋体"/>
        </w:rPr>
      </w:pPr>
    </w:p>
    <w:p w14:paraId="65D1D02B">
      <w:pPr>
        <w:pStyle w:val="16"/>
        <w:rPr>
          <w:rFonts w:hint="eastAsia" w:hAnsi="宋体"/>
        </w:rPr>
      </w:pPr>
    </w:p>
    <w:p w14:paraId="3D2BDDEF">
      <w:pPr>
        <w:pStyle w:val="16"/>
        <w:rPr>
          <w:rFonts w:hint="eastAsia" w:hAnsi="宋体"/>
        </w:rPr>
      </w:pPr>
    </w:p>
    <w:p w14:paraId="56EDEB45">
      <w:pPr>
        <w:pStyle w:val="16"/>
        <w:rPr>
          <w:rFonts w:hint="eastAsia" w:hAnsi="宋体"/>
        </w:rPr>
      </w:pPr>
    </w:p>
    <w:p w14:paraId="0067A0EB">
      <w:pPr>
        <w:pStyle w:val="16"/>
        <w:rPr>
          <w:rFonts w:hint="eastAsia" w:hAnsi="宋体"/>
        </w:rPr>
      </w:pPr>
    </w:p>
    <w:p w14:paraId="22950B99">
      <w:pPr>
        <w:pStyle w:val="16"/>
        <w:rPr>
          <w:rFonts w:hint="eastAsia" w:hAnsi="宋体"/>
        </w:rPr>
      </w:pPr>
    </w:p>
    <w:p w14:paraId="4AEAB736">
      <w:pPr>
        <w:pStyle w:val="16"/>
        <w:rPr>
          <w:rFonts w:hint="eastAsia" w:hAnsi="宋体"/>
        </w:rPr>
      </w:pPr>
    </w:p>
    <w:p w14:paraId="2983778C">
      <w:pPr>
        <w:pStyle w:val="16"/>
        <w:rPr>
          <w:rFonts w:hint="eastAsia" w:hAnsi="宋体"/>
        </w:rPr>
      </w:pPr>
    </w:p>
    <w:p w14:paraId="274B4215">
      <w:pPr>
        <w:pStyle w:val="16"/>
        <w:rPr>
          <w:rFonts w:hint="eastAsia" w:hAnsi="宋体"/>
        </w:rPr>
      </w:pPr>
    </w:p>
    <w:p w14:paraId="6FC6D68E">
      <w:pPr>
        <w:pStyle w:val="16"/>
        <w:rPr>
          <w:rFonts w:hint="eastAsia" w:hAnsi="宋体"/>
        </w:rPr>
      </w:pPr>
    </w:p>
    <w:p w14:paraId="6F63014B">
      <w:pPr>
        <w:pStyle w:val="16"/>
        <w:rPr>
          <w:rFonts w:hint="eastAsia" w:hAnsi="宋体"/>
        </w:rPr>
      </w:pPr>
    </w:p>
    <w:p w14:paraId="2970A970">
      <w:pPr>
        <w:pStyle w:val="16"/>
        <w:rPr>
          <w:rFonts w:hint="eastAsia" w:hAnsi="宋体"/>
        </w:rPr>
      </w:pPr>
    </w:p>
    <w:p w14:paraId="1491F924">
      <w:pPr>
        <w:pStyle w:val="16"/>
        <w:rPr>
          <w:rFonts w:hint="eastAsia" w:hAnsi="宋体"/>
        </w:rPr>
      </w:pPr>
    </w:p>
    <w:p w14:paraId="2010F51A">
      <w:pPr>
        <w:pStyle w:val="16"/>
        <w:rPr>
          <w:rFonts w:hint="eastAsia" w:hAnsi="宋体"/>
        </w:rPr>
      </w:pPr>
    </w:p>
    <w:p w14:paraId="59AC1AA4">
      <w:pPr>
        <w:pStyle w:val="16"/>
        <w:rPr>
          <w:rFonts w:hint="eastAsia" w:hAnsi="宋体"/>
        </w:rPr>
      </w:pPr>
    </w:p>
    <w:p w14:paraId="69EAD1EB">
      <w:pPr>
        <w:pStyle w:val="16"/>
        <w:rPr>
          <w:rFonts w:hint="eastAsia" w:hAnsi="宋体"/>
        </w:rPr>
      </w:pPr>
    </w:p>
    <w:p w14:paraId="571BD22F">
      <w:pPr>
        <w:pStyle w:val="16"/>
        <w:rPr>
          <w:rFonts w:hint="eastAsia" w:hAnsi="宋体"/>
        </w:rPr>
      </w:pPr>
    </w:p>
    <w:p w14:paraId="45E3BBD7">
      <w:pPr>
        <w:pStyle w:val="16"/>
        <w:rPr>
          <w:rFonts w:hint="eastAsia" w:hAnsi="宋体"/>
        </w:rPr>
      </w:pPr>
    </w:p>
    <w:p w14:paraId="0CA2A664">
      <w:pPr>
        <w:pStyle w:val="16"/>
        <w:rPr>
          <w:rFonts w:hint="eastAsia" w:hAnsi="宋体"/>
        </w:rPr>
      </w:pPr>
    </w:p>
    <w:p w14:paraId="3B7DED22">
      <w:pPr>
        <w:pStyle w:val="16"/>
        <w:rPr>
          <w:rFonts w:hint="eastAsia" w:hAnsi="宋体"/>
        </w:rPr>
      </w:pPr>
    </w:p>
    <w:p w14:paraId="01D4EFBA">
      <w:pPr>
        <w:pStyle w:val="16"/>
        <w:rPr>
          <w:rFonts w:hint="eastAsia" w:hAnsi="宋体"/>
        </w:rPr>
      </w:pPr>
    </w:p>
    <w:p w14:paraId="11B503BA">
      <w:pPr>
        <w:pStyle w:val="16"/>
        <w:rPr>
          <w:rFonts w:hint="eastAsia" w:hAnsi="宋体"/>
        </w:rPr>
      </w:pPr>
    </w:p>
    <w:p w14:paraId="469A5BAA">
      <w:pPr>
        <w:pStyle w:val="16"/>
        <w:rPr>
          <w:rFonts w:hint="eastAsia" w:hAnsi="宋体"/>
        </w:rPr>
      </w:pPr>
    </w:p>
    <w:p w14:paraId="5CBCFD1B">
      <w:pPr>
        <w:pStyle w:val="16"/>
        <w:rPr>
          <w:rFonts w:hint="eastAsia" w:hAnsi="宋体"/>
        </w:rPr>
      </w:pPr>
    </w:p>
    <w:p w14:paraId="20945FF7">
      <w:pPr>
        <w:pStyle w:val="16"/>
        <w:rPr>
          <w:rFonts w:hint="eastAsia" w:hAnsi="宋体"/>
        </w:rPr>
      </w:pPr>
    </w:p>
    <w:p w14:paraId="106CDCE5">
      <w:pPr>
        <w:pStyle w:val="16"/>
        <w:rPr>
          <w:rFonts w:hint="eastAsia" w:hAnsi="宋体"/>
        </w:rPr>
      </w:pPr>
    </w:p>
    <w:p w14:paraId="74BC61E8">
      <w:pPr>
        <w:pStyle w:val="16"/>
        <w:rPr>
          <w:rFonts w:hint="eastAsia" w:hAnsi="宋体"/>
        </w:rPr>
      </w:pPr>
    </w:p>
    <w:p w14:paraId="1C516B39">
      <w:pPr>
        <w:pStyle w:val="16"/>
        <w:rPr>
          <w:rFonts w:hint="eastAsia" w:hAnsi="宋体"/>
        </w:rPr>
      </w:pPr>
    </w:p>
    <w:p w14:paraId="100B76E5">
      <w:pPr>
        <w:pStyle w:val="16"/>
        <w:rPr>
          <w:rFonts w:hint="eastAsia" w:hAnsi="宋体"/>
        </w:rPr>
      </w:pPr>
    </w:p>
    <w:p w14:paraId="4AC20B2B">
      <w:pPr>
        <w:pStyle w:val="16"/>
        <w:rPr>
          <w:rFonts w:hint="eastAsia" w:hAnsi="宋体"/>
        </w:rPr>
      </w:pPr>
    </w:p>
    <w:p w14:paraId="344FC10C">
      <w:pPr>
        <w:pStyle w:val="16"/>
        <w:rPr>
          <w:rFonts w:hint="eastAsia" w:hAnsi="宋体"/>
        </w:rPr>
      </w:pPr>
    </w:p>
    <w:p w14:paraId="7BB1B801">
      <w:pPr>
        <w:pStyle w:val="16"/>
        <w:rPr>
          <w:rFonts w:hint="eastAsia" w:hAnsi="宋体"/>
        </w:rPr>
      </w:pPr>
    </w:p>
    <w:p w14:paraId="1DD364F8">
      <w:pPr>
        <w:pStyle w:val="16"/>
        <w:rPr>
          <w:rFonts w:hint="eastAsia" w:hAnsi="宋体"/>
        </w:rPr>
      </w:pPr>
    </w:p>
    <w:p w14:paraId="1CC292DB">
      <w:pPr>
        <w:pStyle w:val="16"/>
        <w:rPr>
          <w:rFonts w:hint="eastAsia" w:hAnsi="宋体"/>
        </w:rPr>
      </w:pPr>
    </w:p>
    <w:p w14:paraId="5A80B2EE">
      <w:pPr>
        <w:pStyle w:val="16"/>
        <w:rPr>
          <w:rFonts w:hint="eastAsia" w:hAnsi="宋体"/>
        </w:rPr>
      </w:pPr>
    </w:p>
    <w:p w14:paraId="3E138BF8">
      <w:pPr>
        <w:rPr>
          <w:rFonts w:hint="eastAsia"/>
          <w:b/>
          <w:bCs/>
          <w:sz w:val="24"/>
          <w:szCs w:val="24"/>
        </w:rPr>
      </w:pPr>
      <w:r>
        <w:rPr>
          <w:rFonts w:hint="eastAsia"/>
          <w:b/>
          <w:bCs/>
          <w:sz w:val="24"/>
          <w:szCs w:val="24"/>
        </w:rPr>
        <w:br w:type="page"/>
      </w: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383BDD22">
      <w:pPr>
        <w:spacing w:line="360" w:lineRule="auto"/>
        <w:rPr>
          <w:rFonts w:hint="eastAsia"/>
          <w:b/>
          <w:bCs/>
          <w:sz w:val="24"/>
          <w:szCs w:val="24"/>
        </w:rPr>
      </w:pPr>
    </w:p>
    <w:p w14:paraId="2D27CD20">
      <w:pPr>
        <w:rPr>
          <w:rFonts w:hint="eastAsia"/>
          <w:b/>
          <w:bCs/>
          <w:sz w:val="24"/>
          <w:szCs w:val="24"/>
        </w:rPr>
      </w:pPr>
      <w:r>
        <w:rPr>
          <w:rFonts w:hint="eastAsia"/>
          <w:b/>
          <w:bCs/>
          <w:sz w:val="24"/>
          <w:szCs w:val="24"/>
        </w:rPr>
        <w:br w:type="page"/>
      </w: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4E7B22D7">
      <w:pPr>
        <w:overflowPunct w:val="0"/>
        <w:adjustRightInd w:val="0"/>
        <w:spacing w:line="500" w:lineRule="exact"/>
        <w:rPr>
          <w:rFonts w:hint="eastAsia"/>
          <w:b/>
          <w:sz w:val="24"/>
          <w:szCs w:val="24"/>
        </w:rPr>
      </w:pPr>
    </w:p>
    <w:p w14:paraId="13836D81">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38BA8ECD">
      <w:pPr>
        <w:spacing w:line="360" w:lineRule="auto"/>
        <w:rPr>
          <w:rFonts w:hint="eastAsia"/>
          <w:b/>
          <w:bCs/>
          <w:sz w:val="24"/>
          <w:szCs w:val="24"/>
        </w:rPr>
      </w:pPr>
    </w:p>
    <w:p w14:paraId="3E78D086">
      <w:pPr>
        <w:rPr>
          <w:rFonts w:hint="eastAsia"/>
          <w:b/>
          <w:bCs/>
          <w:sz w:val="24"/>
          <w:szCs w:val="24"/>
        </w:rPr>
      </w:pPr>
      <w:r>
        <w:rPr>
          <w:rFonts w:hint="eastAsia"/>
          <w:b/>
          <w:bCs/>
          <w:sz w:val="24"/>
          <w:szCs w:val="24"/>
        </w:rPr>
        <w:br w:type="page"/>
      </w: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6"/>
        <w:rPr>
          <w:rFonts w:hint="eastAsia" w:hAnsi="宋体"/>
        </w:rPr>
      </w:pPr>
    </w:p>
    <w:p w14:paraId="2AD67894">
      <w:pPr>
        <w:pStyle w:val="16"/>
        <w:rPr>
          <w:rFonts w:hint="eastAsia" w:hAnsi="宋体"/>
        </w:rPr>
      </w:pPr>
    </w:p>
    <w:p w14:paraId="00DC926C">
      <w:pPr>
        <w:pStyle w:val="16"/>
        <w:rPr>
          <w:rFonts w:hint="eastAsia" w:hAnsi="宋体"/>
        </w:rPr>
      </w:pPr>
    </w:p>
    <w:p w14:paraId="28E9E5BE">
      <w:pPr>
        <w:pStyle w:val="16"/>
        <w:rPr>
          <w:rFonts w:hint="eastAsia" w:hAnsi="宋体"/>
        </w:rPr>
      </w:pPr>
    </w:p>
    <w:p w14:paraId="301F7FD2">
      <w:pPr>
        <w:pStyle w:val="16"/>
        <w:rPr>
          <w:rFonts w:hint="eastAsia" w:hAnsi="宋体"/>
        </w:rPr>
      </w:pPr>
    </w:p>
    <w:p w14:paraId="43775971">
      <w:pPr>
        <w:pStyle w:val="16"/>
        <w:rPr>
          <w:rFonts w:hint="eastAsia" w:hAnsi="宋体"/>
        </w:rPr>
      </w:pPr>
    </w:p>
    <w:p w14:paraId="54AF2472">
      <w:pPr>
        <w:pStyle w:val="16"/>
        <w:rPr>
          <w:rFonts w:hint="eastAsia" w:hAnsi="宋体"/>
        </w:rPr>
      </w:pPr>
    </w:p>
    <w:p w14:paraId="5E160A38">
      <w:pPr>
        <w:pStyle w:val="16"/>
        <w:rPr>
          <w:rFonts w:hint="eastAsia" w:hAnsi="宋体"/>
        </w:rPr>
      </w:pPr>
    </w:p>
    <w:p w14:paraId="0E92FA43">
      <w:pPr>
        <w:pStyle w:val="16"/>
        <w:rPr>
          <w:rFonts w:hint="eastAsia" w:hAnsi="宋体"/>
        </w:rPr>
      </w:pPr>
    </w:p>
    <w:p w14:paraId="37978FBE">
      <w:pPr>
        <w:pStyle w:val="16"/>
        <w:rPr>
          <w:rFonts w:hint="eastAsia" w:hAnsi="宋体"/>
        </w:rPr>
      </w:pPr>
    </w:p>
    <w:p w14:paraId="4C7236BA">
      <w:pPr>
        <w:pStyle w:val="16"/>
        <w:rPr>
          <w:rFonts w:hint="eastAsia" w:hAnsi="宋体"/>
        </w:rPr>
      </w:pPr>
    </w:p>
    <w:p w14:paraId="54AA5B14">
      <w:pPr>
        <w:pStyle w:val="16"/>
        <w:rPr>
          <w:rFonts w:hint="eastAsia" w:hAnsi="宋体"/>
        </w:rPr>
      </w:pPr>
    </w:p>
    <w:p w14:paraId="2675027B">
      <w:pPr>
        <w:pStyle w:val="16"/>
        <w:rPr>
          <w:rFonts w:hint="eastAsia" w:hAnsi="宋体"/>
        </w:rPr>
      </w:pPr>
    </w:p>
    <w:p w14:paraId="71ECF7F4">
      <w:pPr>
        <w:pStyle w:val="16"/>
        <w:rPr>
          <w:rFonts w:hint="eastAsia" w:hAnsi="宋体"/>
        </w:rPr>
      </w:pPr>
    </w:p>
    <w:p w14:paraId="2AF15297">
      <w:pPr>
        <w:pStyle w:val="16"/>
        <w:rPr>
          <w:rFonts w:hint="eastAsia" w:hAnsi="宋体"/>
        </w:rPr>
      </w:pPr>
    </w:p>
    <w:p w14:paraId="06FA2394">
      <w:pPr>
        <w:pStyle w:val="16"/>
        <w:rPr>
          <w:rFonts w:hint="eastAsia" w:hAnsi="宋体"/>
        </w:rPr>
      </w:pPr>
    </w:p>
    <w:p w14:paraId="4533AB7F">
      <w:pPr>
        <w:pStyle w:val="16"/>
        <w:rPr>
          <w:rFonts w:hint="eastAsia" w:hAnsi="宋体"/>
        </w:rPr>
      </w:pPr>
    </w:p>
    <w:p w14:paraId="6A4712F5">
      <w:pPr>
        <w:pStyle w:val="16"/>
        <w:rPr>
          <w:rFonts w:hint="eastAsia" w:hAnsi="宋体"/>
        </w:rPr>
      </w:pPr>
    </w:p>
    <w:p w14:paraId="43AF2974">
      <w:pPr>
        <w:pStyle w:val="16"/>
        <w:rPr>
          <w:rFonts w:hint="eastAsia" w:hAnsi="宋体"/>
        </w:rPr>
      </w:pPr>
    </w:p>
    <w:p w14:paraId="423F30E9">
      <w:pPr>
        <w:rPr>
          <w:rFonts w:hint="eastAsia"/>
          <w:b/>
          <w:bCs/>
          <w:sz w:val="24"/>
          <w:szCs w:val="24"/>
        </w:rPr>
      </w:pPr>
      <w:r>
        <w:rPr>
          <w:rFonts w:hint="eastAsia"/>
          <w:b/>
          <w:bCs/>
          <w:sz w:val="24"/>
          <w:szCs w:val="24"/>
        </w:rPr>
        <w:br w:type="page"/>
      </w: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1"/>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6599A468">
      <w:pPr>
        <w:spacing w:line="420" w:lineRule="exact"/>
        <w:jc w:val="right"/>
        <w:rPr>
          <w:rFonts w:hint="eastAsia"/>
          <w:sz w:val="24"/>
          <w:szCs w:val="24"/>
          <w:lang w:val="en-US"/>
        </w:rPr>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3D937CC2">
      <w:pPr>
        <w:spacing w:line="420" w:lineRule="exact"/>
        <w:rPr>
          <w:rFonts w:hint="eastAsia"/>
          <w:b/>
          <w:sz w:val="24"/>
          <w:szCs w:val="24"/>
          <w:lang w:val="en-US"/>
        </w:rPr>
      </w:pPr>
    </w:p>
    <w:p w14:paraId="5E25ECA0">
      <w:pPr>
        <w:spacing w:line="420" w:lineRule="exact"/>
        <w:ind w:firstLine="482" w:firstLineChars="200"/>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6"/>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2"/>
        <w:tblW w:w="8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0"/>
        <w:gridCol w:w="5060"/>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500"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04DC4237">
            <w:pPr>
              <w:adjustRightInd w:val="0"/>
              <w:snapToGrid w:val="0"/>
              <w:spacing w:line="420" w:lineRule="exact"/>
              <w:jc w:val="center"/>
              <w:rPr>
                <w:rFonts w:hint="eastAsia"/>
                <w:b/>
                <w:bCs/>
                <w:sz w:val="24"/>
                <w:szCs w:val="24"/>
              </w:rPr>
            </w:pPr>
            <w:r>
              <w:rPr>
                <w:rFonts w:hint="eastAsia"/>
                <w:sz w:val="24"/>
                <w:szCs w:val="24"/>
              </w:rPr>
              <w:t>（人民币：元 ）</w:t>
            </w:r>
          </w:p>
        </w:tc>
        <w:tc>
          <w:tcPr>
            <w:tcW w:w="5060" w:type="dxa"/>
            <w:vAlign w:val="center"/>
          </w:tcPr>
          <w:p w14:paraId="10E4D85A">
            <w:pPr>
              <w:pStyle w:val="2"/>
              <w:adjustRightInd w:val="0"/>
              <w:snapToGrid w:val="0"/>
              <w:spacing w:line="300" w:lineRule="auto"/>
              <w:rPr>
                <w:rFonts w:hint="eastAsia"/>
                <w:szCs w:val="24"/>
              </w:rPr>
            </w:pPr>
            <w:r>
              <w:rPr>
                <w:rFonts w:hint="eastAsia"/>
                <w:szCs w:val="24"/>
              </w:rPr>
              <w:t>大写：</w:t>
            </w:r>
          </w:p>
          <w:p w14:paraId="364CBA28">
            <w:pPr>
              <w:pStyle w:val="24"/>
              <w:spacing w:before="0" w:after="0" w:line="500" w:lineRule="exact"/>
              <w:ind w:firstLine="0"/>
              <w:rPr>
                <w:rFonts w:hint="eastAsia" w:ascii="宋体" w:hAnsi="宋体"/>
              </w:rPr>
            </w:pPr>
            <w:r>
              <w:rPr>
                <w:rFonts w:hint="eastAsia" w:ascii="宋体" w:hAnsi="宋体"/>
              </w:rPr>
              <w:t xml:space="preserve">小写：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500"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060" w:type="dxa"/>
            <w:vAlign w:val="center"/>
          </w:tcPr>
          <w:p w14:paraId="0CDE1520">
            <w:pPr>
              <w:pStyle w:val="24"/>
              <w:spacing w:before="0" w:after="0" w:line="500" w:lineRule="exact"/>
              <w:ind w:firstLine="0"/>
              <w:rPr>
                <w:rFonts w:hint="eastAsia" w:ascii="宋体" w:hAnsi="宋体"/>
              </w:rPr>
            </w:pPr>
          </w:p>
        </w:tc>
      </w:tr>
    </w:tbl>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5E3FFB44">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208EA655">
      <w:pPr>
        <w:pStyle w:val="2"/>
        <w:rPr>
          <w:rFonts w:hint="eastAsia"/>
          <w:b/>
          <w:bCs/>
          <w:sz w:val="24"/>
          <w:szCs w:val="24"/>
        </w:rPr>
      </w:pPr>
    </w:p>
    <w:p w14:paraId="1EA6D20F">
      <w:pPr>
        <w:pStyle w:val="3"/>
        <w:rPr>
          <w:rFonts w:hint="eastAsia"/>
          <w:b/>
          <w:bCs/>
          <w:sz w:val="24"/>
          <w:szCs w:val="24"/>
        </w:rPr>
      </w:pPr>
    </w:p>
    <w:p w14:paraId="4A81C63D">
      <w:pPr>
        <w:rPr>
          <w:rFonts w:hint="eastAsia"/>
          <w:b/>
          <w:bCs/>
          <w:sz w:val="24"/>
          <w:szCs w:val="24"/>
        </w:rPr>
      </w:pPr>
    </w:p>
    <w:p w14:paraId="6FEDE3B7">
      <w:pPr>
        <w:adjustRightInd w:val="0"/>
        <w:snapToGrid w:val="0"/>
        <w:spacing w:line="420" w:lineRule="exact"/>
        <w:rPr>
          <w:rFonts w:hint="eastAsia"/>
          <w:b/>
          <w:bCs/>
          <w:sz w:val="24"/>
          <w:szCs w:val="24"/>
        </w:rPr>
      </w:pPr>
    </w:p>
    <w:p w14:paraId="502090E3">
      <w:pPr>
        <w:adjustRightInd w:val="0"/>
        <w:snapToGrid w:val="0"/>
        <w:spacing w:line="420" w:lineRule="exact"/>
        <w:rPr>
          <w:rFonts w:hint="eastAsia"/>
          <w:b/>
          <w:bCs/>
          <w:sz w:val="24"/>
          <w:szCs w:val="24"/>
        </w:rPr>
      </w:pPr>
      <w:r>
        <w:rPr>
          <w:rFonts w:hint="eastAsia"/>
          <w:b/>
          <w:bCs/>
          <w:sz w:val="24"/>
          <w:szCs w:val="24"/>
        </w:rPr>
        <w:tab/>
      </w:r>
    </w:p>
    <w:p w14:paraId="13069F79">
      <w:pPr>
        <w:adjustRightInd w:val="0"/>
        <w:snapToGrid w:val="0"/>
        <w:spacing w:line="420" w:lineRule="exact"/>
        <w:rPr>
          <w:rFonts w:hint="eastAsia"/>
          <w:b/>
          <w:bCs/>
          <w:sz w:val="24"/>
          <w:szCs w:val="24"/>
        </w:rPr>
      </w:pPr>
    </w:p>
    <w:p w14:paraId="7D4B45A1">
      <w:pPr>
        <w:rPr>
          <w:rFonts w:hint="eastAsia"/>
          <w:b/>
          <w:bCs/>
          <w:sz w:val="24"/>
          <w:szCs w:val="24"/>
        </w:rPr>
      </w:pPr>
      <w:r>
        <w:rPr>
          <w:rFonts w:hint="eastAsia"/>
          <w:b/>
          <w:bCs/>
          <w:sz w:val="24"/>
          <w:szCs w:val="24"/>
        </w:rPr>
        <w:br w:type="page"/>
      </w: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11F66C1E">
      <w:pPr>
        <w:widowControl/>
        <w:rPr>
          <w:rFonts w:hint="eastAsia"/>
          <w:b/>
          <w:sz w:val="24"/>
          <w:szCs w:val="24"/>
          <w:lang w:val="en-US"/>
        </w:rPr>
      </w:pPr>
    </w:p>
    <w:p w14:paraId="3A4CA85A">
      <w:pPr>
        <w:widowControl/>
        <w:rPr>
          <w:rFonts w:hint="eastAsia"/>
          <w:b/>
          <w:sz w:val="24"/>
          <w:szCs w:val="24"/>
          <w:lang w:val="en-US"/>
        </w:rPr>
      </w:pPr>
    </w:p>
    <w:p w14:paraId="4A7885C5">
      <w:pPr>
        <w:rPr>
          <w:rFonts w:hint="eastAsia"/>
          <w:b/>
          <w:sz w:val="24"/>
          <w:szCs w:val="24"/>
          <w:lang w:val="en-US"/>
        </w:rPr>
      </w:pPr>
      <w:r>
        <w:rPr>
          <w:rFonts w:hint="eastAsia"/>
          <w:b/>
          <w:sz w:val="24"/>
          <w:szCs w:val="24"/>
          <w:lang w:val="en-US"/>
        </w:rPr>
        <w:br w:type="page"/>
      </w:r>
    </w:p>
    <w:p w14:paraId="75E1C7E8">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727AA38E">
      <w:pPr>
        <w:snapToGrid w:val="0"/>
        <w:spacing w:line="400" w:lineRule="exact"/>
        <w:rPr>
          <w:rFonts w:hint="eastAsia"/>
          <w:b/>
          <w:bCs/>
          <w:sz w:val="24"/>
          <w:szCs w:val="24"/>
          <w:lang w:val="en-US"/>
        </w:rPr>
      </w:pPr>
    </w:p>
    <w:p w14:paraId="31070D8E">
      <w:pPr>
        <w:snapToGrid w:val="0"/>
        <w:spacing w:line="400" w:lineRule="exact"/>
        <w:rPr>
          <w:rFonts w:hint="eastAsia"/>
          <w:b/>
          <w:bCs/>
          <w:sz w:val="24"/>
          <w:szCs w:val="24"/>
          <w:lang w:val="en-US"/>
        </w:rPr>
      </w:pPr>
    </w:p>
    <w:p w14:paraId="7B22A220">
      <w:pPr>
        <w:rPr>
          <w:rFonts w:hint="eastAsia"/>
          <w:b/>
          <w:bCs/>
          <w:sz w:val="24"/>
          <w:szCs w:val="24"/>
          <w:lang w:val="en-US"/>
        </w:rPr>
      </w:pPr>
      <w:r>
        <w:rPr>
          <w:rFonts w:hint="eastAsia"/>
          <w:b/>
          <w:bCs/>
          <w:sz w:val="24"/>
          <w:szCs w:val="24"/>
          <w:lang w:val="en-US"/>
        </w:rPr>
        <w:br w:type="page"/>
      </w: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6"/>
        <w:rPr>
          <w:rFonts w:hint="eastAsia" w:hAnsi="宋体"/>
        </w:rPr>
      </w:pPr>
    </w:p>
    <w:p w14:paraId="7A8C3870">
      <w:pPr>
        <w:pStyle w:val="16"/>
        <w:rPr>
          <w:rFonts w:hint="eastAsia" w:hAnsi="宋体"/>
        </w:rPr>
      </w:pPr>
    </w:p>
    <w:p w14:paraId="705E1712">
      <w:pPr>
        <w:pStyle w:val="16"/>
        <w:rPr>
          <w:rFonts w:hint="eastAsia" w:hAnsi="宋体"/>
        </w:rPr>
      </w:pPr>
    </w:p>
    <w:p w14:paraId="64A80D71">
      <w:pPr>
        <w:pStyle w:val="16"/>
        <w:rPr>
          <w:rFonts w:hint="eastAsia" w:hAnsi="宋体"/>
        </w:rPr>
      </w:pPr>
    </w:p>
    <w:p w14:paraId="1E18844A">
      <w:pPr>
        <w:pStyle w:val="16"/>
        <w:rPr>
          <w:rFonts w:hint="eastAsia" w:hAnsi="宋体"/>
        </w:rPr>
      </w:pPr>
    </w:p>
    <w:p w14:paraId="5E2B95D7">
      <w:pPr>
        <w:pStyle w:val="16"/>
        <w:jc w:val="right"/>
        <w:rPr>
          <w:rFonts w:hint="eastAsia" w:hAnsi="宋体"/>
          <w:sz w:val="28"/>
          <w:szCs w:val="28"/>
        </w:rPr>
      </w:pPr>
    </w:p>
    <w:p w14:paraId="2836461F">
      <w:pPr>
        <w:pStyle w:val="16"/>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6"/>
        <w:snapToGrid w:val="0"/>
        <w:spacing w:line="400" w:lineRule="exact"/>
        <w:ind w:firstLine="560" w:firstLineChars="200"/>
        <w:jc w:val="both"/>
        <w:rPr>
          <w:rFonts w:hint="eastAsia" w:hAnsi="宋体"/>
          <w:color w:val="auto"/>
          <w:sz w:val="28"/>
          <w:szCs w:val="28"/>
          <w:highlight w:val="yellow"/>
          <w:lang w:bidi="zh-CN"/>
        </w:rPr>
      </w:pPr>
    </w:p>
    <w:p w14:paraId="13CCFC9B">
      <w:pPr>
        <w:pStyle w:val="16"/>
        <w:snapToGrid w:val="0"/>
        <w:spacing w:line="400" w:lineRule="exact"/>
        <w:ind w:firstLine="560" w:firstLineChars="200"/>
        <w:jc w:val="both"/>
        <w:rPr>
          <w:rFonts w:hint="eastAsia" w:hAnsi="宋体"/>
          <w:color w:val="auto"/>
          <w:sz w:val="28"/>
          <w:szCs w:val="28"/>
          <w:highlight w:val="yellow"/>
          <w:lang w:bidi="zh-CN"/>
        </w:rPr>
      </w:pPr>
    </w:p>
    <w:p w14:paraId="3A038E77">
      <w:pPr>
        <w:pStyle w:val="16"/>
        <w:snapToGrid w:val="0"/>
        <w:spacing w:line="400" w:lineRule="exact"/>
        <w:ind w:firstLine="560" w:firstLineChars="200"/>
        <w:jc w:val="both"/>
        <w:rPr>
          <w:rFonts w:hint="eastAsia" w:hAnsi="宋体"/>
          <w:color w:val="auto"/>
          <w:sz w:val="28"/>
          <w:szCs w:val="28"/>
          <w:highlight w:val="yellow"/>
          <w:lang w:bidi="zh-CN"/>
        </w:rPr>
      </w:pPr>
    </w:p>
    <w:p w14:paraId="357D4200">
      <w:pPr>
        <w:pStyle w:val="16"/>
        <w:snapToGrid w:val="0"/>
        <w:spacing w:line="400" w:lineRule="exact"/>
        <w:ind w:firstLine="560" w:firstLineChars="200"/>
        <w:jc w:val="both"/>
        <w:rPr>
          <w:rFonts w:hint="eastAsia" w:hAnsi="宋体"/>
          <w:color w:val="auto"/>
          <w:sz w:val="28"/>
          <w:szCs w:val="28"/>
          <w:highlight w:val="yellow"/>
          <w:lang w:bidi="zh-CN"/>
        </w:rPr>
      </w:pPr>
    </w:p>
    <w:p w14:paraId="2159BA84">
      <w:pPr>
        <w:pStyle w:val="16"/>
        <w:snapToGrid w:val="0"/>
        <w:spacing w:line="400" w:lineRule="exact"/>
        <w:ind w:firstLine="560" w:firstLineChars="200"/>
        <w:jc w:val="both"/>
        <w:rPr>
          <w:rFonts w:hint="eastAsia" w:hAnsi="宋体"/>
          <w:color w:val="auto"/>
          <w:sz w:val="28"/>
          <w:szCs w:val="28"/>
          <w:highlight w:val="yellow"/>
          <w:lang w:bidi="zh-CN"/>
        </w:rPr>
      </w:pPr>
    </w:p>
    <w:p w14:paraId="0A551C7E">
      <w:pPr>
        <w:pStyle w:val="16"/>
        <w:snapToGrid w:val="0"/>
        <w:spacing w:line="400" w:lineRule="exact"/>
        <w:ind w:firstLine="560" w:firstLineChars="200"/>
        <w:jc w:val="both"/>
        <w:rPr>
          <w:rFonts w:hint="eastAsia" w:hAnsi="宋体"/>
          <w:color w:val="auto"/>
          <w:sz w:val="28"/>
          <w:szCs w:val="28"/>
          <w:highlight w:val="yellow"/>
          <w:lang w:bidi="zh-CN"/>
        </w:rPr>
      </w:pPr>
    </w:p>
    <w:p w14:paraId="7E32CCA3">
      <w:pPr>
        <w:pStyle w:val="16"/>
        <w:snapToGrid w:val="0"/>
        <w:spacing w:line="400" w:lineRule="exact"/>
        <w:ind w:firstLine="560" w:firstLineChars="200"/>
        <w:jc w:val="both"/>
        <w:rPr>
          <w:rFonts w:hint="eastAsia" w:hAnsi="宋体"/>
          <w:color w:val="auto"/>
          <w:sz w:val="28"/>
          <w:szCs w:val="28"/>
          <w:highlight w:val="yellow"/>
          <w:lang w:bidi="zh-CN"/>
        </w:rPr>
      </w:pPr>
    </w:p>
    <w:p w14:paraId="7DE17243">
      <w:pPr>
        <w:pStyle w:val="16"/>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6"/>
        <w:snapToGrid w:val="0"/>
        <w:spacing w:line="400" w:lineRule="exact"/>
        <w:ind w:firstLine="560" w:firstLineChars="200"/>
        <w:jc w:val="both"/>
        <w:rPr>
          <w:rFonts w:hint="eastAsia" w:hAnsi="宋体"/>
          <w:color w:val="auto"/>
          <w:sz w:val="28"/>
          <w:szCs w:val="28"/>
          <w:lang w:bidi="zh-CN"/>
        </w:rPr>
      </w:pPr>
    </w:p>
    <w:sectPr>
      <w:pgSz w:w="11906" w:h="16838"/>
      <w:pgMar w:top="1440" w:right="1803" w:bottom="1440" w:left="1803"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方正仿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7"/>
      <w:jc w:val="center"/>
      <w:rPr>
        <w:rFonts w:hint="eastAsia"/>
      </w:rPr>
    </w:pPr>
    <w:r>
      <w:fldChar w:fldCharType="begin"/>
    </w:r>
    <w:r>
      <w:instrText xml:space="preserve">PAGE   \* MERGEFORMAT</w:instrText>
    </w:r>
    <w:r>
      <w:fldChar w:fldCharType="separate"/>
    </w:r>
    <w:r>
      <w:t>2</w:t>
    </w:r>
    <w:r>
      <w:fldChar w:fldCharType="end"/>
    </w:r>
  </w:p>
  <w:p w14:paraId="14FCAC32">
    <w:pPr>
      <w:pStyle w:val="7"/>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CD06BC"/>
    <w:rsid w:val="00D03DEC"/>
    <w:rsid w:val="00D550E2"/>
    <w:rsid w:val="00E11251"/>
    <w:rsid w:val="00EF4233"/>
    <w:rsid w:val="00F23861"/>
    <w:rsid w:val="00F90EBD"/>
    <w:rsid w:val="011B764B"/>
    <w:rsid w:val="02924A37"/>
    <w:rsid w:val="051A0D14"/>
    <w:rsid w:val="08A92ADB"/>
    <w:rsid w:val="08F57ACE"/>
    <w:rsid w:val="09740162"/>
    <w:rsid w:val="0B341C38"/>
    <w:rsid w:val="0DA15ACD"/>
    <w:rsid w:val="10390BE8"/>
    <w:rsid w:val="106B1579"/>
    <w:rsid w:val="14484ED0"/>
    <w:rsid w:val="14C17F85"/>
    <w:rsid w:val="14C2134B"/>
    <w:rsid w:val="171A6014"/>
    <w:rsid w:val="18F02060"/>
    <w:rsid w:val="19744A3F"/>
    <w:rsid w:val="197A4AF0"/>
    <w:rsid w:val="1A7E52AB"/>
    <w:rsid w:val="1B7E7DF7"/>
    <w:rsid w:val="1D813B01"/>
    <w:rsid w:val="1E4C7D38"/>
    <w:rsid w:val="1F130F43"/>
    <w:rsid w:val="1F7A66EC"/>
    <w:rsid w:val="22D81189"/>
    <w:rsid w:val="250643AD"/>
    <w:rsid w:val="26B02E2F"/>
    <w:rsid w:val="281F5195"/>
    <w:rsid w:val="290E584E"/>
    <w:rsid w:val="2ADF54FF"/>
    <w:rsid w:val="2B110340"/>
    <w:rsid w:val="2BBA7BCA"/>
    <w:rsid w:val="2CD12EA1"/>
    <w:rsid w:val="2EA119DB"/>
    <w:rsid w:val="2FE26EEF"/>
    <w:rsid w:val="30812888"/>
    <w:rsid w:val="31B163D9"/>
    <w:rsid w:val="358931C8"/>
    <w:rsid w:val="37E450B2"/>
    <w:rsid w:val="38FA2CC4"/>
    <w:rsid w:val="397A22CF"/>
    <w:rsid w:val="3B5322AF"/>
    <w:rsid w:val="3CF234B6"/>
    <w:rsid w:val="3DFC62A4"/>
    <w:rsid w:val="3E1A5306"/>
    <w:rsid w:val="3E497999"/>
    <w:rsid w:val="3F910D25"/>
    <w:rsid w:val="4061721C"/>
    <w:rsid w:val="416074D3"/>
    <w:rsid w:val="45DC10F2"/>
    <w:rsid w:val="47042A63"/>
    <w:rsid w:val="47335CBB"/>
    <w:rsid w:val="481E3C44"/>
    <w:rsid w:val="49CA5E32"/>
    <w:rsid w:val="4A11580F"/>
    <w:rsid w:val="4C196BFC"/>
    <w:rsid w:val="4CB1362F"/>
    <w:rsid w:val="4DEE3752"/>
    <w:rsid w:val="51421F4D"/>
    <w:rsid w:val="536C6F3D"/>
    <w:rsid w:val="54E573FD"/>
    <w:rsid w:val="567FCE8C"/>
    <w:rsid w:val="57412D1B"/>
    <w:rsid w:val="586670F9"/>
    <w:rsid w:val="59A57D21"/>
    <w:rsid w:val="5B156E17"/>
    <w:rsid w:val="5CA16BF1"/>
    <w:rsid w:val="5CFE6039"/>
    <w:rsid w:val="5D3D8FF5"/>
    <w:rsid w:val="5E6301AB"/>
    <w:rsid w:val="5F5883ED"/>
    <w:rsid w:val="6100068A"/>
    <w:rsid w:val="62856942"/>
    <w:rsid w:val="6380654F"/>
    <w:rsid w:val="64AF5EF8"/>
    <w:rsid w:val="64DEB7E9"/>
    <w:rsid w:val="656D9C30"/>
    <w:rsid w:val="69C415D8"/>
    <w:rsid w:val="6AB9FB35"/>
    <w:rsid w:val="6ADB7A47"/>
    <w:rsid w:val="6E66E4D7"/>
    <w:rsid w:val="6EBE60E1"/>
    <w:rsid w:val="6F7706EC"/>
    <w:rsid w:val="6F7D3698"/>
    <w:rsid w:val="6FB333F1"/>
    <w:rsid w:val="719A3A8C"/>
    <w:rsid w:val="71FB277D"/>
    <w:rsid w:val="72DFDF3F"/>
    <w:rsid w:val="74B21625"/>
    <w:rsid w:val="7564688B"/>
    <w:rsid w:val="75C90A12"/>
    <w:rsid w:val="76212876"/>
    <w:rsid w:val="76ED59CB"/>
    <w:rsid w:val="784E7EAE"/>
    <w:rsid w:val="79733540"/>
    <w:rsid w:val="79E37203"/>
    <w:rsid w:val="79F39D60"/>
    <w:rsid w:val="7AE3B2F3"/>
    <w:rsid w:val="7BFF6E21"/>
    <w:rsid w:val="7DEE0627"/>
    <w:rsid w:val="7DFAB7CD"/>
    <w:rsid w:val="7EA17EFE"/>
    <w:rsid w:val="7EECD86B"/>
    <w:rsid w:val="7F76814C"/>
    <w:rsid w:val="7F7B67FD"/>
    <w:rsid w:val="7F8740FD"/>
    <w:rsid w:val="7FB796D3"/>
    <w:rsid w:val="7FEE326D"/>
    <w:rsid w:val="7FF94121"/>
    <w:rsid w:val="7FFD92B1"/>
    <w:rsid w:val="7FFE258B"/>
    <w:rsid w:val="7FFFC314"/>
    <w:rsid w:val="9FFDF4FF"/>
    <w:rsid w:val="ABE3EEFB"/>
    <w:rsid w:val="BB374D92"/>
    <w:rsid w:val="BDE73270"/>
    <w:rsid w:val="BFBFE444"/>
    <w:rsid w:val="C7FF6CEC"/>
    <w:rsid w:val="DBBC7813"/>
    <w:rsid w:val="DF37C34A"/>
    <w:rsid w:val="F49FDE57"/>
    <w:rsid w:val="F966F8B4"/>
    <w:rsid w:val="FCF57792"/>
    <w:rsid w:val="FEDF3782"/>
    <w:rsid w:val="FEEF8675"/>
    <w:rsid w:val="FEF1B636"/>
    <w:rsid w:val="FF644D8C"/>
    <w:rsid w:val="FF97EFF0"/>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tabs>
        <w:tab w:val="left" w:pos="567"/>
      </w:tabs>
      <w:spacing w:before="120" w:line="22" w:lineRule="atLeast"/>
    </w:pPr>
    <w:rPr>
      <w:sz w:val="24"/>
    </w:rPr>
  </w:style>
  <w:style w:type="paragraph" w:styleId="3">
    <w:name w:val="toc 2"/>
    <w:basedOn w:val="1"/>
    <w:next w:val="1"/>
    <w:unhideWhenUsed/>
    <w:qFormat/>
    <w:uiPriority w:val="39"/>
    <w:pPr>
      <w:ind w:left="420" w:leftChars="200"/>
    </w:pPr>
    <w:rPr>
      <w:rFonts w:ascii="Calibri" w:hAnsi="Calibri" w:eastAsia="宋体" w:cs="Times New Roman"/>
    </w:rPr>
  </w:style>
  <w:style w:type="paragraph" w:styleId="5">
    <w:name w:val="annotation text"/>
    <w:basedOn w:val="1"/>
    <w:link w:val="25"/>
    <w:qFormat/>
    <w:uiPriority w:val="0"/>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footer"/>
    <w:basedOn w:val="1"/>
    <w:link w:val="23"/>
    <w:qFormat/>
    <w:uiPriority w:val="0"/>
    <w:pPr>
      <w:tabs>
        <w:tab w:val="center" w:pos="4153"/>
        <w:tab w:val="right" w:pos="8306"/>
      </w:tabs>
      <w:snapToGrid w:val="0"/>
    </w:pPr>
    <w:rPr>
      <w:sz w:val="18"/>
      <w:szCs w:val="18"/>
    </w:rPr>
  </w:style>
  <w:style w:type="paragraph" w:styleId="8">
    <w:name w:val="header"/>
    <w:basedOn w:val="1"/>
    <w:link w:val="22"/>
    <w:qFormat/>
    <w:uiPriority w:val="99"/>
    <w:pP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5"/>
    <w:next w:val="5"/>
    <w:link w:val="26"/>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4"/>
    <w:autoRedefine/>
    <w:qFormat/>
    <w:uiPriority w:val="0"/>
    <w:rPr>
      <w:rFonts w:ascii="Calibri" w:hAnsi="Calibri" w:cs="Calibri"/>
      <w:color w:val="000000"/>
      <w:sz w:val="24"/>
      <w:szCs w:val="24"/>
      <w:u w:val="none"/>
    </w:rPr>
  </w:style>
  <w:style w:type="character" w:customStyle="1" w:styleId="19">
    <w:name w:val="font31"/>
    <w:basedOn w:val="14"/>
    <w:autoRedefine/>
    <w:qFormat/>
    <w:uiPriority w:val="0"/>
    <w:rPr>
      <w:rFonts w:hint="eastAsia" w:ascii="宋体" w:hAnsi="宋体" w:eastAsia="宋体" w:cs="宋体"/>
      <w:color w:val="000000"/>
      <w:sz w:val="24"/>
      <w:szCs w:val="24"/>
      <w:u w:val="none"/>
    </w:rPr>
  </w:style>
  <w:style w:type="character" w:customStyle="1" w:styleId="20">
    <w:name w:val="font41"/>
    <w:basedOn w:val="14"/>
    <w:autoRedefine/>
    <w:qFormat/>
    <w:uiPriority w:val="0"/>
    <w:rPr>
      <w:rFonts w:hint="eastAsia" w:ascii="宋体" w:hAnsi="宋体" w:eastAsia="宋体" w:cs="宋体"/>
      <w:color w:val="000000"/>
      <w:sz w:val="24"/>
      <w:szCs w:val="24"/>
      <w:u w:val="none"/>
    </w:rPr>
  </w:style>
  <w:style w:type="character" w:customStyle="1" w:styleId="21">
    <w:name w:val="font51"/>
    <w:basedOn w:val="14"/>
    <w:autoRedefine/>
    <w:qFormat/>
    <w:uiPriority w:val="0"/>
    <w:rPr>
      <w:rFonts w:hint="default" w:ascii="Calibri" w:hAnsi="Calibri" w:cs="Calibri"/>
      <w:color w:val="000000"/>
      <w:sz w:val="24"/>
      <w:szCs w:val="24"/>
      <w:u w:val="none"/>
    </w:rPr>
  </w:style>
  <w:style w:type="character" w:customStyle="1" w:styleId="22">
    <w:name w:val="页眉 字符"/>
    <w:basedOn w:val="14"/>
    <w:link w:val="8"/>
    <w:qFormat/>
    <w:uiPriority w:val="99"/>
    <w:rPr>
      <w:rFonts w:ascii="宋体" w:hAnsi="宋体" w:cs="宋体"/>
      <w:sz w:val="18"/>
      <w:szCs w:val="18"/>
      <w:lang w:val="zh-CN" w:bidi="zh-CN"/>
    </w:rPr>
  </w:style>
  <w:style w:type="character" w:customStyle="1" w:styleId="23">
    <w:name w:val="页脚 字符"/>
    <w:basedOn w:val="14"/>
    <w:link w:val="7"/>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4"/>
    <w:link w:val="5"/>
    <w:qFormat/>
    <w:uiPriority w:val="0"/>
    <w:rPr>
      <w:rFonts w:ascii="宋体" w:hAnsi="宋体" w:cs="宋体"/>
      <w:sz w:val="22"/>
      <w:szCs w:val="22"/>
      <w:lang w:val="zh-CN" w:bidi="zh-CN"/>
    </w:rPr>
  </w:style>
  <w:style w:type="character" w:customStyle="1" w:styleId="26">
    <w:name w:val="批注主题 字符"/>
    <w:basedOn w:val="25"/>
    <w:link w:val="10"/>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4770</Words>
  <Characters>5178</Characters>
  <Lines>49</Lines>
  <Paragraphs>13</Paragraphs>
  <TotalTime>32</TotalTime>
  <ScaleCrop>false</ScaleCrop>
  <LinksUpToDate>false</LinksUpToDate>
  <CharactersWithSpaces>5936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2025-03-25T13:09:00Z</dcterms:created>
  <dc:creator>快乐达人</dc:creator>
  <cp:lastModifiedBy>快乐达人</cp:lastModifiedBy>
  <dcterms:modified xsi:type="dcterms:W3CDTF">2025-04-01T01:55:22Z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247AA60E027E4153933223D74D0C8194_13</vt:lpwstr>
  </property>
  <property fmtid="{D5CDD505-2E9C-101B-9397-08002B2CF9AE}" pid="4" name="KSOTemplateDocerSaveRecord">
    <vt:lpwstr>eyJoZGlkIjoiNjUyMGRlNWFkODE4ZGU3MTIwODZmNTBlZWM0Yzc2ZTMiLCJ1c2VySWQiOiI0NDk1NDYyNTYifQ==</vt:lpwstr>
  </property>
</Properties>
</file>