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ageBreakBefore w:val="0"/>
        <w:kinsoku/>
        <w:wordWrap/>
        <w:topLinePunct w:val="0"/>
        <w:bidi w:val="0"/>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常州工业职业技术学院</w:t>
      </w:r>
    </w:p>
    <w:p w14:paraId="63F6105C">
      <w:pPr>
        <w:pageBreakBefore w:val="0"/>
        <w:kinsoku/>
        <w:wordWrap/>
        <w:topLinePunct w:val="0"/>
        <w:bidi w:val="0"/>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2025-2026年校园安防系统运维服务外包项目</w:t>
      </w:r>
      <w:r>
        <w:rPr>
          <w:rFonts w:hint="eastAsia" w:ascii="宋体" w:hAnsi="宋体" w:eastAsia="宋体" w:cs="宋体"/>
          <w:b/>
          <w:bCs/>
          <w:sz w:val="32"/>
          <w:szCs w:val="32"/>
        </w:rPr>
        <w:t>询价文件</w:t>
      </w:r>
    </w:p>
    <w:p w14:paraId="7E8E1C49">
      <w:pPr>
        <w:pageBreakBefore w:val="0"/>
        <w:kinsoku/>
        <w:wordWrap/>
        <w:topLinePunct w:val="0"/>
        <w:bidi w:val="0"/>
        <w:spacing w:line="360" w:lineRule="auto"/>
        <w:ind w:firstLine="4800" w:firstLineChars="2000"/>
        <w:jc w:val="both"/>
        <w:rPr>
          <w:rFonts w:hint="eastAsia" w:ascii="宋体" w:hAnsi="宋体" w:eastAsia="宋体" w:cs="宋体"/>
          <w:sz w:val="24"/>
          <w:szCs w:val="24"/>
        </w:rPr>
      </w:pPr>
      <w:r>
        <w:rPr>
          <w:rFonts w:hint="eastAsia" w:cs="宋体"/>
          <w:sz w:val="24"/>
          <w:szCs w:val="24"/>
          <w:highlight w:val="none"/>
          <w:lang w:val="en-US" w:eastAsia="zh-CN"/>
        </w:rPr>
        <w:t>项目编号：</w:t>
      </w:r>
      <w:r>
        <w:rPr>
          <w:rFonts w:hint="eastAsia" w:hAnsi="宋体"/>
          <w:color w:val="auto"/>
          <w:sz w:val="28"/>
          <w:szCs w:val="28"/>
          <w:lang w:val="en-US" w:bidi="zh-CN"/>
        </w:rPr>
        <w:t>CZGYX20250</w:t>
      </w:r>
      <w:r>
        <w:rPr>
          <w:rFonts w:hint="eastAsia"/>
          <w:color w:val="auto"/>
          <w:sz w:val="28"/>
          <w:szCs w:val="28"/>
          <w:lang w:val="en-US" w:bidi="zh-CN"/>
        </w:rPr>
        <w:t>704-1</w:t>
      </w:r>
      <w:r>
        <w:rPr>
          <w:rFonts w:hint="eastAsia" w:ascii="宋体" w:hAnsi="宋体" w:eastAsia="宋体" w:cs="宋体"/>
          <w:sz w:val="24"/>
          <w:szCs w:val="24"/>
          <w:lang w:val="en-US"/>
        </w:rPr>
        <w:t xml:space="preserve">         </w:t>
      </w:r>
      <w:r>
        <w:rPr>
          <w:rFonts w:hint="eastAsia" w:ascii="宋体" w:hAnsi="宋体" w:eastAsia="宋体" w:cs="宋体"/>
          <w:sz w:val="24"/>
          <w:szCs w:val="24"/>
        </w:rPr>
        <w:t xml:space="preserve">  </w:t>
      </w:r>
    </w:p>
    <w:p w14:paraId="2CE005F2">
      <w:pPr>
        <w:pageBreakBefore w:val="0"/>
        <w:numPr>
          <w:ilvl w:val="0"/>
          <w:numId w:val="0"/>
        </w:numPr>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b/>
          <w:bCs/>
          <w:sz w:val="24"/>
          <w:szCs w:val="24"/>
          <w:lang w:eastAsia="zh-CN"/>
        </w:rPr>
        <w:t>一、项目名称：</w:t>
      </w:r>
      <w:r>
        <w:rPr>
          <w:rFonts w:hint="eastAsia" w:ascii="宋体" w:hAnsi="宋体" w:eastAsia="宋体" w:cs="宋体"/>
          <w:sz w:val="24"/>
          <w:szCs w:val="24"/>
          <w:lang w:val="en-US" w:eastAsia="zh-CN"/>
        </w:rPr>
        <w:t>2025-2026年校园安防系统运维服务外包项目</w:t>
      </w:r>
    </w:p>
    <w:p w14:paraId="2950DE45">
      <w:pPr>
        <w:pageBreakBefore w:val="0"/>
        <w:numPr>
          <w:ilvl w:val="0"/>
          <w:numId w:val="0"/>
        </w:numPr>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b/>
          <w:bCs/>
          <w:sz w:val="24"/>
          <w:szCs w:val="24"/>
          <w:lang w:eastAsia="zh-CN"/>
        </w:rPr>
        <w:t>二、</w:t>
      </w:r>
      <w:r>
        <w:rPr>
          <w:rFonts w:hint="eastAsia" w:ascii="宋体" w:hAnsi="宋体" w:eastAsia="宋体" w:cs="宋体"/>
          <w:b/>
          <w:bCs/>
          <w:sz w:val="24"/>
          <w:szCs w:val="24"/>
        </w:rPr>
        <w:t>采购单位</w:t>
      </w:r>
      <w:r>
        <w:rPr>
          <w:rFonts w:hint="eastAsia" w:ascii="宋体" w:hAnsi="宋体" w:eastAsia="宋体" w:cs="宋体"/>
          <w:b/>
          <w:bCs/>
          <w:sz w:val="24"/>
          <w:szCs w:val="24"/>
          <w:lang w:eastAsia="zh-CN"/>
        </w:rPr>
        <w:t>：</w:t>
      </w:r>
      <w:r>
        <w:rPr>
          <w:rFonts w:hint="eastAsia" w:ascii="宋体" w:hAnsi="宋体" w:eastAsia="宋体" w:cs="宋体"/>
          <w:sz w:val="24"/>
          <w:szCs w:val="24"/>
        </w:rPr>
        <w:t>常州工业职业技术学院</w:t>
      </w:r>
    </w:p>
    <w:p w14:paraId="1E6BD03D">
      <w:pPr>
        <w:pageBreakBefore w:val="0"/>
        <w:kinsoku/>
        <w:wordWrap/>
        <w:topLinePunct w:val="0"/>
        <w:bidi w:val="0"/>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rPr>
        <w:t>三、资质要求</w:t>
      </w:r>
      <w:r>
        <w:rPr>
          <w:rFonts w:hint="eastAsia" w:ascii="宋体" w:hAnsi="宋体" w:eastAsia="宋体" w:cs="宋体"/>
          <w:b/>
          <w:bCs/>
          <w:sz w:val="24"/>
          <w:szCs w:val="24"/>
          <w:lang w:eastAsia="zh-CN"/>
        </w:rPr>
        <w:t>：</w:t>
      </w:r>
    </w:p>
    <w:p w14:paraId="29207F7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必须符合《中华人民共和国政府采购法》第二十二条的相关规定；</w:t>
      </w:r>
    </w:p>
    <w:p w14:paraId="5EC6C0C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单位负责人为同一人或者存在直接控股、管理关系的不同供应商，不得参加同一合同项下的政府采购活动；</w:t>
      </w:r>
    </w:p>
    <w:p w14:paraId="09DDCC1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经营及资信状况较好；</w:t>
      </w:r>
    </w:p>
    <w:p w14:paraId="1CEB3A4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本项目不接受联合投标，不得转包分包。</w:t>
      </w:r>
    </w:p>
    <w:p w14:paraId="4CB97953">
      <w:pPr>
        <w:pageBreakBefore w:val="0"/>
        <w:kinsoku/>
        <w:wordWrap/>
        <w:topLinePunct w:val="0"/>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四、最高限价</w:t>
      </w:r>
    </w:p>
    <w:p w14:paraId="7F48B72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本项目最高限价</w:t>
      </w:r>
      <w:r>
        <w:rPr>
          <w:rFonts w:hint="eastAsia" w:ascii="宋体" w:hAnsi="宋体" w:eastAsia="宋体" w:cs="宋体"/>
          <w:sz w:val="24"/>
          <w:szCs w:val="24"/>
          <w:lang w:val="en-US"/>
        </w:rPr>
        <w:t>50000</w:t>
      </w:r>
      <w:r>
        <w:rPr>
          <w:rFonts w:hint="eastAsia" w:ascii="宋体" w:hAnsi="宋体" w:eastAsia="宋体" w:cs="宋体"/>
          <w:sz w:val="24"/>
          <w:szCs w:val="24"/>
        </w:rPr>
        <w:t>元，供应商不得超过最高限价，否则视为无效报价</w:t>
      </w:r>
      <w:r>
        <w:rPr>
          <w:rFonts w:hint="eastAsia" w:cs="宋体"/>
          <w:sz w:val="24"/>
          <w:szCs w:val="24"/>
          <w:lang w:eastAsia="zh-CN"/>
        </w:rPr>
        <w:t>。</w:t>
      </w:r>
      <w:r>
        <w:rPr>
          <w:rFonts w:hint="eastAsia" w:ascii="宋体" w:hAnsi="宋体" w:eastAsia="宋体" w:cs="宋体"/>
          <w:sz w:val="24"/>
          <w:szCs w:val="24"/>
          <w:lang w:val="en-US" w:eastAsia="zh-CN"/>
        </w:rPr>
        <w:t>供应商投标报价包含校时服务器的采购费用，校时服务器的采购需满足校时服务器采购清单的要求</w:t>
      </w:r>
      <w:r>
        <w:rPr>
          <w:rFonts w:hint="eastAsia" w:ascii="宋体" w:hAnsi="宋体" w:eastAsia="宋体" w:cs="宋体"/>
          <w:sz w:val="24"/>
          <w:szCs w:val="24"/>
        </w:rPr>
        <w:t xml:space="preserve">。 </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039"/>
        <w:gridCol w:w="5389"/>
        <w:gridCol w:w="696"/>
        <w:gridCol w:w="696"/>
      </w:tblGrid>
      <w:tr w14:paraId="5102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8" w:hRule="atLeast"/>
          <w:jc w:val="center"/>
        </w:trPr>
        <w:tc>
          <w:tcPr>
            <w:tcW w:w="8516" w:type="dxa"/>
            <w:gridSpan w:val="5"/>
            <w:shd w:val="clear" w:color="auto" w:fill="auto"/>
            <w:noWrap/>
            <w:vAlign w:val="center"/>
          </w:tcPr>
          <w:p w14:paraId="4090C3D5">
            <w:pPr>
              <w:pageBreakBefore w:val="0"/>
              <w:kinsoku/>
              <w:wordWrap/>
              <w:topLinePunct w:val="0"/>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校时服务器及校园智能安防管理系统软件扩容清单</w:t>
            </w:r>
          </w:p>
        </w:tc>
      </w:tr>
      <w:tr w14:paraId="1BAD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696" w:type="dxa"/>
            <w:shd w:val="clear" w:color="auto" w:fill="auto"/>
            <w:noWrap/>
            <w:vAlign w:val="center"/>
          </w:tcPr>
          <w:p w14:paraId="09ECCDBF">
            <w:pPr>
              <w:pageBreakBefore w:val="0"/>
              <w:kinsoku/>
              <w:wordWrap/>
              <w:topLinePunct w:val="0"/>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039" w:type="dxa"/>
            <w:shd w:val="clear" w:color="auto" w:fill="auto"/>
            <w:noWrap/>
            <w:vAlign w:val="center"/>
          </w:tcPr>
          <w:p w14:paraId="54734E07">
            <w:pPr>
              <w:pageBreakBefore w:val="0"/>
              <w:kinsoku/>
              <w:wordWrap/>
              <w:topLinePunct w:val="0"/>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名称</w:t>
            </w:r>
          </w:p>
        </w:tc>
        <w:tc>
          <w:tcPr>
            <w:tcW w:w="5389" w:type="dxa"/>
            <w:shd w:val="clear" w:color="auto" w:fill="auto"/>
            <w:noWrap/>
            <w:vAlign w:val="center"/>
          </w:tcPr>
          <w:p w14:paraId="754BCEAF">
            <w:pPr>
              <w:pageBreakBefore w:val="0"/>
              <w:kinsoku/>
              <w:wordWrap/>
              <w:topLinePunct w:val="0"/>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参数</w:t>
            </w:r>
          </w:p>
        </w:tc>
        <w:tc>
          <w:tcPr>
            <w:tcW w:w="696" w:type="dxa"/>
            <w:shd w:val="clear" w:color="auto" w:fill="auto"/>
            <w:noWrap/>
            <w:vAlign w:val="center"/>
          </w:tcPr>
          <w:p w14:paraId="74D44826">
            <w:pPr>
              <w:pageBreakBefore w:val="0"/>
              <w:kinsoku/>
              <w:wordWrap/>
              <w:topLinePunct w:val="0"/>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单位</w:t>
            </w:r>
          </w:p>
        </w:tc>
        <w:tc>
          <w:tcPr>
            <w:tcW w:w="696" w:type="dxa"/>
            <w:shd w:val="clear" w:color="auto" w:fill="auto"/>
            <w:noWrap/>
            <w:vAlign w:val="center"/>
          </w:tcPr>
          <w:p w14:paraId="5B4B8BEE">
            <w:pPr>
              <w:pageBreakBefore w:val="0"/>
              <w:kinsoku/>
              <w:wordWrap/>
              <w:topLinePunct w:val="0"/>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数量</w:t>
            </w:r>
          </w:p>
        </w:tc>
      </w:tr>
      <w:tr w14:paraId="1E61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6" w:type="dxa"/>
            <w:shd w:val="clear" w:color="auto" w:fill="auto"/>
            <w:noWrap/>
            <w:vAlign w:val="center"/>
          </w:tcPr>
          <w:p w14:paraId="125DDFE6">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1039" w:type="dxa"/>
            <w:shd w:val="clear" w:color="auto" w:fill="auto"/>
            <w:noWrap/>
            <w:vAlign w:val="center"/>
          </w:tcPr>
          <w:p w14:paraId="39B04B03">
            <w:pPr>
              <w:pageBreakBefore w:val="0"/>
              <w:kinsoku/>
              <w:wordWrap/>
              <w:topLinePunct w:val="0"/>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校时服务器</w:t>
            </w:r>
          </w:p>
        </w:tc>
        <w:tc>
          <w:tcPr>
            <w:tcW w:w="5389" w:type="dxa"/>
            <w:shd w:val="clear" w:color="auto" w:fill="auto"/>
            <w:vAlign w:val="center"/>
          </w:tcPr>
          <w:p w14:paraId="5B3327B6">
            <w:pPr>
              <w:pageBreakBefore w:val="0"/>
              <w:numPr>
                <w:ilvl w:val="0"/>
                <w:numId w:val="0"/>
              </w:numPr>
              <w:tabs>
                <w:tab w:val="left" w:pos="2200"/>
              </w:tabs>
              <w:kinsoku/>
              <w:wordWrap/>
              <w:topLinePunct w:val="0"/>
              <w:bidi w:val="0"/>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1.操作系统：Linux OS；</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2.天线接口：BNC，1路，稳定度≤10 ns（σ）；</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3.面板显示：配置高亮度OLED液晶，支持轮循显示卫星状态、时间、卫星个数、网络、系统工作状态；</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xml:space="preserve">4.WEB管理、WEB设置、NTP设置、网络设置 ； </w:t>
            </w:r>
          </w:p>
          <w:p w14:paraId="3FDCBFF8">
            <w:pPr>
              <w:pageBreakBefore w:val="0"/>
              <w:numPr>
                <w:ilvl w:val="0"/>
                <w:numId w:val="0"/>
              </w:numPr>
              <w:tabs>
                <w:tab w:val="left" w:pos="2200"/>
              </w:tabs>
              <w:kinsoku/>
              <w:wordWrap/>
              <w:topLinePunct w:val="0"/>
              <w:bidi w:val="0"/>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5.NTP状态：NTP服务器和授时客户端的同步和时间偏差情况；</w:t>
            </w:r>
          </w:p>
          <w:p w14:paraId="0D34163B">
            <w:pPr>
              <w:pageBreakBefore w:val="0"/>
              <w:numPr>
                <w:ilvl w:val="0"/>
                <w:numId w:val="0"/>
              </w:numPr>
              <w:tabs>
                <w:tab w:val="left" w:pos="2200"/>
              </w:tabs>
              <w:kinsoku/>
              <w:wordWrap/>
              <w:topLinePunct w:val="0"/>
              <w:bidi w:val="0"/>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6.GPS状态：包括GPS卫星数，服务器部署位置的经纬度和高度，卫星时间，服务器时间以及参考源的同步情况；</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7.授时模式：支持NTP Peer Client/Server Broadcast Multicast。</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8.高可靠性：双路220V冗余电源 支持双机热备 支持网卡绑定。</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9.能对接学校现有的校园安防管理平台，所产生的费用由供应商自行承担。</w:t>
            </w:r>
          </w:p>
          <w:p w14:paraId="72AE0663">
            <w:pPr>
              <w:pageBreakBefore w:val="0"/>
              <w:numPr>
                <w:ilvl w:val="0"/>
                <w:numId w:val="0"/>
              </w:numPr>
              <w:tabs>
                <w:tab w:val="left" w:pos="2200"/>
              </w:tabs>
              <w:kinsoku/>
              <w:wordWrap/>
              <w:topLinePunct w:val="0"/>
              <w:bidi w:val="0"/>
              <w:spacing w:line="240" w:lineRule="auto"/>
              <w:rPr>
                <w:rFonts w:hint="eastAsia" w:ascii="宋体" w:hAnsi="宋体" w:eastAsia="宋体" w:cs="宋体"/>
                <w:sz w:val="24"/>
                <w:szCs w:val="24"/>
                <w:lang w:val="en-US"/>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10.提供设备生产厂商原厂质保承诺函加盖原厂公章，质保期满足至少3年。</w:t>
            </w:r>
          </w:p>
        </w:tc>
        <w:tc>
          <w:tcPr>
            <w:tcW w:w="696" w:type="dxa"/>
            <w:shd w:val="clear" w:color="auto" w:fill="auto"/>
            <w:noWrap/>
            <w:vAlign w:val="center"/>
          </w:tcPr>
          <w:p w14:paraId="5F65CB98">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台</w:t>
            </w:r>
          </w:p>
        </w:tc>
        <w:tc>
          <w:tcPr>
            <w:tcW w:w="696" w:type="dxa"/>
            <w:shd w:val="clear" w:color="auto" w:fill="auto"/>
            <w:noWrap/>
            <w:vAlign w:val="center"/>
          </w:tcPr>
          <w:p w14:paraId="663D2048">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1</w:t>
            </w:r>
          </w:p>
        </w:tc>
      </w:tr>
      <w:tr w14:paraId="2AE6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07" w:hRule="atLeast"/>
          <w:jc w:val="center"/>
        </w:trPr>
        <w:tc>
          <w:tcPr>
            <w:tcW w:w="696" w:type="dxa"/>
            <w:shd w:val="clear" w:color="auto" w:fill="auto"/>
            <w:noWrap/>
            <w:vAlign w:val="center"/>
          </w:tcPr>
          <w:p w14:paraId="1F8B958F">
            <w:pPr>
              <w:pStyle w:val="2"/>
              <w:pageBreakBefore w:val="0"/>
              <w:kinsoku/>
              <w:wordWrap/>
              <w:topLinePunct w:val="0"/>
              <w:bidi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039" w:type="dxa"/>
            <w:shd w:val="clear" w:color="auto" w:fill="auto"/>
            <w:noWrap/>
            <w:vAlign w:val="center"/>
          </w:tcPr>
          <w:p w14:paraId="06567C25">
            <w:pPr>
              <w:pStyle w:val="2"/>
              <w:pageBreakBefore w:val="0"/>
              <w:kinsoku/>
              <w:wordWrap/>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vertAlign w:val="baseline"/>
                <w:lang w:eastAsia="zh-CN"/>
              </w:rPr>
              <w:t>校园智能安防管理系统软件扩容</w:t>
            </w:r>
          </w:p>
        </w:tc>
        <w:tc>
          <w:tcPr>
            <w:tcW w:w="5389" w:type="dxa"/>
            <w:shd w:val="clear" w:color="auto" w:fill="auto"/>
            <w:vAlign w:val="center"/>
          </w:tcPr>
          <w:p w14:paraId="6D5F3E7D">
            <w:pPr>
              <w:pageBreakBefore w:val="0"/>
              <w:numPr>
                <w:ilvl w:val="0"/>
                <w:numId w:val="0"/>
              </w:numPr>
              <w:tabs>
                <w:tab w:val="left" w:pos="2200"/>
              </w:tabs>
              <w:kinsoku/>
              <w:wordWrap/>
              <w:topLinePunct w:val="0"/>
              <w:bidi w:val="0"/>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★1.校园安防智能管理系统监控点位授权点位扩容至2000路。</w:t>
            </w:r>
          </w:p>
          <w:p w14:paraId="4E29995A">
            <w:pPr>
              <w:pageBreakBefore w:val="0"/>
              <w:numPr>
                <w:ilvl w:val="0"/>
                <w:numId w:val="0"/>
              </w:numPr>
              <w:tabs>
                <w:tab w:val="left" w:pos="2200"/>
              </w:tabs>
              <w:kinsoku/>
              <w:wordWrap/>
              <w:topLinePunct w:val="0"/>
              <w:bidi w:val="0"/>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★2.将南门陌生人脸抓拍相机联动消控室视频墙做弹窗报警。</w:t>
            </w:r>
          </w:p>
          <w:p w14:paraId="1AEFF90F">
            <w:pPr>
              <w:pageBreakBefore w:val="0"/>
              <w:numPr>
                <w:ilvl w:val="0"/>
                <w:numId w:val="0"/>
              </w:numPr>
              <w:tabs>
                <w:tab w:val="left" w:pos="2200"/>
              </w:tabs>
              <w:kinsoku/>
              <w:wordWrap/>
              <w:topLinePunct w:val="0"/>
              <w:bidi w:val="0"/>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★3.系统扩容需无缝对接学校现有校园安防管理系统（供应商需提供无缝对接承诺函，由此产生的费用由供应商自行承担）。</w:t>
            </w:r>
          </w:p>
        </w:tc>
        <w:tc>
          <w:tcPr>
            <w:tcW w:w="696" w:type="dxa"/>
            <w:shd w:val="clear" w:color="auto" w:fill="auto"/>
            <w:noWrap/>
            <w:vAlign w:val="center"/>
          </w:tcPr>
          <w:p w14:paraId="79A5B414">
            <w:pPr>
              <w:pageBreakBefore w:val="0"/>
              <w:kinsoku/>
              <w:wordWrap/>
              <w:topLinePunct w:val="0"/>
              <w:bidi w:val="0"/>
              <w:spacing w:line="360" w:lineRule="auto"/>
              <w:rPr>
                <w:rFonts w:hint="default" w:ascii="宋体" w:hAnsi="宋体" w:eastAsia="宋体" w:cs="宋体"/>
                <w:sz w:val="24"/>
                <w:szCs w:val="24"/>
                <w:lang w:val="en-US" w:eastAsia="zh-CN"/>
              </w:rPr>
            </w:pPr>
            <w:r>
              <w:rPr>
                <w:rFonts w:hint="eastAsia" w:cs="宋体"/>
                <w:sz w:val="24"/>
                <w:szCs w:val="24"/>
                <w:lang w:val="en-US" w:eastAsia="zh-CN"/>
              </w:rPr>
              <w:t>套</w:t>
            </w:r>
          </w:p>
        </w:tc>
        <w:tc>
          <w:tcPr>
            <w:tcW w:w="696" w:type="dxa"/>
            <w:shd w:val="clear" w:color="auto" w:fill="auto"/>
            <w:noWrap/>
            <w:vAlign w:val="center"/>
          </w:tcPr>
          <w:p w14:paraId="71C96446">
            <w:pPr>
              <w:pageBreakBefore w:val="0"/>
              <w:kinsoku/>
              <w:wordWrap/>
              <w:topLinePunct w:val="0"/>
              <w:bidi w:val="0"/>
              <w:spacing w:line="360" w:lineRule="auto"/>
              <w:rPr>
                <w:rFonts w:hint="default" w:ascii="宋体" w:hAnsi="宋体" w:eastAsia="宋体" w:cs="宋体"/>
                <w:sz w:val="24"/>
                <w:szCs w:val="24"/>
                <w:lang w:val="en-US" w:eastAsia="zh-CN"/>
              </w:rPr>
            </w:pPr>
            <w:r>
              <w:rPr>
                <w:rFonts w:hint="eastAsia" w:cs="宋体"/>
                <w:sz w:val="24"/>
                <w:szCs w:val="24"/>
                <w:lang w:val="en-US" w:eastAsia="zh-CN"/>
              </w:rPr>
              <w:t>1</w:t>
            </w:r>
          </w:p>
        </w:tc>
      </w:tr>
    </w:tbl>
    <w:p w14:paraId="3667DC36">
      <w:pPr>
        <w:pStyle w:val="2"/>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bidi="zh-CN"/>
        </w:rPr>
      </w:pPr>
    </w:p>
    <w:p w14:paraId="617FA5ED">
      <w:pPr>
        <w:pageBreakBefore w:val="0"/>
        <w:kinsoku/>
        <w:wordWrap/>
        <w:topLinePunct w:val="0"/>
        <w:bidi w:val="0"/>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五、服务范围</w:t>
      </w:r>
    </w:p>
    <w:p w14:paraId="53A112D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bookmarkStart w:id="0" w:name="_Hlk200100309"/>
      <w:r>
        <w:rPr>
          <w:rFonts w:hint="eastAsia" w:ascii="宋体" w:hAnsi="宋体" w:eastAsia="宋体" w:cs="宋体"/>
          <w:sz w:val="24"/>
          <w:szCs w:val="24"/>
          <w:lang w:eastAsia="zh-CN"/>
        </w:rPr>
        <w:t>学校超出质保期的视频监控管理系统、录像存储管理系统、门禁管理管理系统、停车场管理系统、消控室中心大屏、校园安防管理平台等若干个系统的前后端设施设备、传输线路和软件管理系统，具体见“校园安防系统运维服务主要设备清单（截止2025年</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月）”。</w:t>
      </w:r>
    </w:p>
    <w:bookmarkEnd w:id="0"/>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6"/>
        <w:gridCol w:w="1656"/>
        <w:gridCol w:w="4772"/>
        <w:gridCol w:w="696"/>
        <w:gridCol w:w="696"/>
      </w:tblGrid>
      <w:tr w14:paraId="0039C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gridSpan w:val="5"/>
            <w:tcBorders>
              <w:tl2br w:val="nil"/>
              <w:tr2bl w:val="nil"/>
            </w:tcBorders>
            <w:noWrap/>
            <w:vAlign w:val="center"/>
          </w:tcPr>
          <w:p w14:paraId="286FE55B">
            <w:pPr>
              <w:pageBreakBefore w:val="0"/>
              <w:kinsoku/>
              <w:wordWrap/>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校园安防系统运维服务主要设备清单（截止2025年6月）</w:t>
            </w:r>
          </w:p>
        </w:tc>
      </w:tr>
      <w:tr w14:paraId="6BFD4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tcBorders>
              <w:tl2br w:val="nil"/>
              <w:tr2bl w:val="nil"/>
            </w:tcBorders>
            <w:noWrap/>
            <w:vAlign w:val="center"/>
          </w:tcPr>
          <w:p w14:paraId="1EE2CB6F">
            <w:pPr>
              <w:pageBreakBefore w:val="0"/>
              <w:kinsoku/>
              <w:wordWrap/>
              <w:topLinePunct w:val="0"/>
              <w:bidi w:val="0"/>
              <w:spacing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序号</w:t>
            </w:r>
          </w:p>
        </w:tc>
        <w:tc>
          <w:tcPr>
            <w:tcW w:w="0" w:type="auto"/>
            <w:tcBorders>
              <w:tl2br w:val="nil"/>
              <w:tr2bl w:val="nil"/>
            </w:tcBorders>
            <w:noWrap/>
            <w:vAlign w:val="center"/>
          </w:tcPr>
          <w:p w14:paraId="595AC210">
            <w:pPr>
              <w:pageBreakBefore w:val="0"/>
              <w:kinsoku/>
              <w:wordWrap/>
              <w:topLinePunct w:val="0"/>
              <w:bidi w:val="0"/>
              <w:spacing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名称</w:t>
            </w:r>
          </w:p>
        </w:tc>
        <w:tc>
          <w:tcPr>
            <w:tcW w:w="0" w:type="auto"/>
            <w:tcBorders>
              <w:tl2br w:val="nil"/>
              <w:tr2bl w:val="nil"/>
            </w:tcBorders>
            <w:noWrap w:val="0"/>
            <w:vAlign w:val="center"/>
          </w:tcPr>
          <w:p w14:paraId="7AF5D32C">
            <w:pPr>
              <w:pageBreakBefore w:val="0"/>
              <w:kinsoku/>
              <w:wordWrap/>
              <w:topLinePunct w:val="0"/>
              <w:bidi w:val="0"/>
              <w:spacing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内容</w:t>
            </w:r>
          </w:p>
        </w:tc>
        <w:tc>
          <w:tcPr>
            <w:tcW w:w="0" w:type="auto"/>
            <w:tcBorders>
              <w:tl2br w:val="nil"/>
              <w:tr2bl w:val="nil"/>
            </w:tcBorders>
            <w:noWrap/>
            <w:vAlign w:val="center"/>
          </w:tcPr>
          <w:p w14:paraId="7FAFB950">
            <w:pPr>
              <w:pageBreakBefore w:val="0"/>
              <w:kinsoku/>
              <w:wordWrap/>
              <w:topLinePunct w:val="0"/>
              <w:bidi w:val="0"/>
              <w:spacing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数量</w:t>
            </w:r>
          </w:p>
        </w:tc>
        <w:tc>
          <w:tcPr>
            <w:tcW w:w="0" w:type="auto"/>
            <w:tcBorders>
              <w:tl2br w:val="nil"/>
              <w:tr2bl w:val="nil"/>
            </w:tcBorders>
            <w:noWrap/>
            <w:vAlign w:val="center"/>
          </w:tcPr>
          <w:p w14:paraId="22283CA1">
            <w:pPr>
              <w:pageBreakBefore w:val="0"/>
              <w:kinsoku/>
              <w:wordWrap/>
              <w:topLinePunct w:val="0"/>
              <w:bidi w:val="0"/>
              <w:spacing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单位</w:t>
            </w:r>
          </w:p>
        </w:tc>
      </w:tr>
      <w:tr w14:paraId="6E4F9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tcBorders>
              <w:tl2br w:val="nil"/>
              <w:tr2bl w:val="nil"/>
            </w:tcBorders>
            <w:noWrap/>
            <w:vAlign w:val="center"/>
          </w:tcPr>
          <w:p w14:paraId="426E3377">
            <w:pPr>
              <w:pageBreakBefore w:val="0"/>
              <w:kinsoku/>
              <w:wordWrap/>
              <w:topLinePunct w:val="0"/>
              <w:bidi w:val="0"/>
              <w:spacing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p>
        </w:tc>
        <w:tc>
          <w:tcPr>
            <w:tcW w:w="0" w:type="auto"/>
            <w:tcBorders>
              <w:tl2br w:val="nil"/>
              <w:tr2bl w:val="nil"/>
            </w:tcBorders>
            <w:noWrap/>
            <w:vAlign w:val="center"/>
          </w:tcPr>
          <w:p w14:paraId="7AA1CA72">
            <w:pPr>
              <w:pageBreakBefore w:val="0"/>
              <w:kinsoku/>
              <w:wordWrap/>
              <w:topLinePunct w:val="0"/>
              <w:bidi w:val="0"/>
              <w:spacing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摄像机</w:t>
            </w:r>
          </w:p>
        </w:tc>
        <w:tc>
          <w:tcPr>
            <w:tcW w:w="0" w:type="auto"/>
            <w:tcBorders>
              <w:tl2br w:val="nil"/>
              <w:tr2bl w:val="nil"/>
            </w:tcBorders>
            <w:noWrap w:val="0"/>
            <w:vAlign w:val="center"/>
          </w:tcPr>
          <w:p w14:paraId="4528D558">
            <w:pPr>
              <w:pageBreakBefore w:val="0"/>
              <w:kinsoku/>
              <w:wordWrap/>
              <w:topLinePunct w:val="0"/>
              <w:bidi w:val="0"/>
              <w:spacing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半球、枪机、人脸抓拍相机、全景球机、普通球机</w:t>
            </w:r>
          </w:p>
        </w:tc>
        <w:tc>
          <w:tcPr>
            <w:tcW w:w="0" w:type="auto"/>
            <w:tcBorders>
              <w:tl2br w:val="nil"/>
              <w:tr2bl w:val="nil"/>
            </w:tcBorders>
            <w:noWrap/>
            <w:vAlign w:val="center"/>
          </w:tcPr>
          <w:p w14:paraId="2A05A357">
            <w:pPr>
              <w:pageBreakBefore w:val="0"/>
              <w:kinsoku/>
              <w:wordWrap/>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1435</w:t>
            </w:r>
          </w:p>
        </w:tc>
        <w:tc>
          <w:tcPr>
            <w:tcW w:w="0" w:type="auto"/>
            <w:tcBorders>
              <w:tl2br w:val="nil"/>
              <w:tr2bl w:val="nil"/>
            </w:tcBorders>
            <w:noWrap/>
            <w:vAlign w:val="center"/>
          </w:tcPr>
          <w:p w14:paraId="580AF7AD">
            <w:pPr>
              <w:pageBreakBefore w:val="0"/>
              <w:kinsoku/>
              <w:wordWrap/>
              <w:topLinePunct w:val="0"/>
              <w:bidi w:val="0"/>
              <w:spacing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台</w:t>
            </w:r>
          </w:p>
        </w:tc>
      </w:tr>
      <w:tr w14:paraId="7FD4E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tcBorders>
              <w:tl2br w:val="nil"/>
              <w:tr2bl w:val="nil"/>
            </w:tcBorders>
            <w:noWrap/>
            <w:vAlign w:val="center"/>
          </w:tcPr>
          <w:p w14:paraId="347C8A0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l2br w:val="nil"/>
              <w:tr2bl w:val="nil"/>
            </w:tcBorders>
            <w:noWrap/>
            <w:vAlign w:val="center"/>
          </w:tcPr>
          <w:p w14:paraId="2343AD4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网络设备</w:t>
            </w:r>
          </w:p>
        </w:tc>
        <w:tc>
          <w:tcPr>
            <w:tcW w:w="0" w:type="auto"/>
            <w:tcBorders>
              <w:tl2br w:val="nil"/>
              <w:tr2bl w:val="nil"/>
            </w:tcBorders>
            <w:noWrap w:val="0"/>
            <w:vAlign w:val="center"/>
          </w:tcPr>
          <w:p w14:paraId="68DCE83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1光4电千兆光纤收发器、1光1电千兆光纤收发器、24口管理型交换机、、24口非管理型交换机、8口交换机、核心交换机</w:t>
            </w:r>
          </w:p>
        </w:tc>
        <w:tc>
          <w:tcPr>
            <w:tcW w:w="0" w:type="auto"/>
            <w:tcBorders>
              <w:tl2br w:val="nil"/>
              <w:tr2bl w:val="nil"/>
            </w:tcBorders>
            <w:noWrap/>
            <w:vAlign w:val="center"/>
          </w:tcPr>
          <w:p w14:paraId="1E6536E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l2br w:val="nil"/>
              <w:tr2bl w:val="nil"/>
            </w:tcBorders>
            <w:noWrap/>
            <w:vAlign w:val="center"/>
          </w:tcPr>
          <w:p w14:paraId="72D635D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r>
      <w:tr w14:paraId="63B66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vMerge w:val="restart"/>
            <w:tcBorders>
              <w:tl2br w:val="nil"/>
              <w:tr2bl w:val="nil"/>
            </w:tcBorders>
            <w:noWrap/>
            <w:vAlign w:val="center"/>
          </w:tcPr>
          <w:p w14:paraId="47BD5EE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vMerge w:val="restart"/>
            <w:tcBorders>
              <w:tl2br w:val="nil"/>
              <w:tr2bl w:val="nil"/>
            </w:tcBorders>
            <w:noWrap/>
            <w:vAlign w:val="center"/>
          </w:tcPr>
          <w:p w14:paraId="76B137F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车辆管理模块</w:t>
            </w:r>
          </w:p>
        </w:tc>
        <w:tc>
          <w:tcPr>
            <w:tcW w:w="0" w:type="auto"/>
            <w:tcBorders>
              <w:tl2br w:val="nil"/>
              <w:tr2bl w:val="nil"/>
            </w:tcBorders>
            <w:noWrap w:val="0"/>
            <w:vAlign w:val="center"/>
          </w:tcPr>
          <w:p w14:paraId="252494D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车辆识别一体机</w:t>
            </w:r>
          </w:p>
        </w:tc>
        <w:tc>
          <w:tcPr>
            <w:tcW w:w="0" w:type="auto"/>
            <w:tcBorders>
              <w:tl2br w:val="nil"/>
              <w:tr2bl w:val="nil"/>
            </w:tcBorders>
            <w:noWrap/>
            <w:vAlign w:val="center"/>
          </w:tcPr>
          <w:p w14:paraId="1EE31EA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w:t>
            </w:r>
          </w:p>
        </w:tc>
        <w:tc>
          <w:tcPr>
            <w:tcW w:w="0" w:type="auto"/>
            <w:tcBorders>
              <w:tl2br w:val="nil"/>
              <w:tr2bl w:val="nil"/>
            </w:tcBorders>
            <w:noWrap/>
            <w:vAlign w:val="center"/>
          </w:tcPr>
          <w:p w14:paraId="16B3BB9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72AAC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vMerge w:val="continue"/>
            <w:tcBorders>
              <w:tl2br w:val="nil"/>
              <w:tr2bl w:val="nil"/>
            </w:tcBorders>
            <w:noWrap/>
            <w:vAlign w:val="center"/>
          </w:tcPr>
          <w:p w14:paraId="012892A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p>
        </w:tc>
        <w:tc>
          <w:tcPr>
            <w:tcW w:w="0" w:type="auto"/>
            <w:vMerge w:val="continue"/>
            <w:tcBorders>
              <w:tl2br w:val="nil"/>
              <w:tr2bl w:val="nil"/>
            </w:tcBorders>
            <w:noWrap/>
            <w:vAlign w:val="center"/>
          </w:tcPr>
          <w:p w14:paraId="5F8AE42B">
            <w:pPr>
              <w:pageBreakBefore w:val="0"/>
              <w:kinsoku/>
              <w:wordWrap/>
              <w:topLinePunct w:val="0"/>
              <w:bidi w:val="0"/>
              <w:spacing w:line="240" w:lineRule="auto"/>
              <w:jc w:val="center"/>
              <w:rPr>
                <w:rFonts w:hint="eastAsia" w:ascii="宋体" w:hAnsi="宋体" w:eastAsia="宋体" w:cs="宋体"/>
                <w:i w:val="0"/>
                <w:iCs w:val="0"/>
                <w:color w:val="000000"/>
                <w:sz w:val="24"/>
                <w:szCs w:val="24"/>
                <w:u w:val="none"/>
              </w:rPr>
            </w:pPr>
          </w:p>
        </w:tc>
        <w:tc>
          <w:tcPr>
            <w:tcW w:w="0" w:type="auto"/>
            <w:tcBorders>
              <w:tl2br w:val="nil"/>
              <w:tr2bl w:val="nil"/>
            </w:tcBorders>
            <w:noWrap w:val="0"/>
            <w:vAlign w:val="center"/>
          </w:tcPr>
          <w:p w14:paraId="24E39E9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车行闸机</w:t>
            </w:r>
          </w:p>
        </w:tc>
        <w:tc>
          <w:tcPr>
            <w:tcW w:w="0" w:type="auto"/>
            <w:tcBorders>
              <w:tl2br w:val="nil"/>
              <w:tr2bl w:val="nil"/>
            </w:tcBorders>
            <w:noWrap/>
            <w:vAlign w:val="center"/>
          </w:tcPr>
          <w:p w14:paraId="52CCEA6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w:t>
            </w:r>
          </w:p>
        </w:tc>
        <w:tc>
          <w:tcPr>
            <w:tcW w:w="0" w:type="auto"/>
            <w:tcBorders>
              <w:tl2br w:val="nil"/>
              <w:tr2bl w:val="nil"/>
            </w:tcBorders>
            <w:noWrap/>
            <w:vAlign w:val="center"/>
          </w:tcPr>
          <w:p w14:paraId="6F98541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2E031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vMerge w:val="continue"/>
            <w:tcBorders>
              <w:tl2br w:val="nil"/>
              <w:tr2bl w:val="nil"/>
            </w:tcBorders>
            <w:noWrap/>
            <w:vAlign w:val="center"/>
          </w:tcPr>
          <w:p w14:paraId="30DE3A9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p>
        </w:tc>
        <w:tc>
          <w:tcPr>
            <w:tcW w:w="0" w:type="auto"/>
            <w:vMerge w:val="continue"/>
            <w:tcBorders>
              <w:tl2br w:val="nil"/>
              <w:tr2bl w:val="nil"/>
            </w:tcBorders>
            <w:noWrap/>
            <w:vAlign w:val="center"/>
          </w:tcPr>
          <w:p w14:paraId="2D353FEE">
            <w:pPr>
              <w:pageBreakBefore w:val="0"/>
              <w:kinsoku/>
              <w:wordWrap/>
              <w:topLinePunct w:val="0"/>
              <w:bidi w:val="0"/>
              <w:spacing w:line="240" w:lineRule="auto"/>
              <w:jc w:val="center"/>
              <w:rPr>
                <w:rFonts w:hint="eastAsia" w:ascii="宋体" w:hAnsi="宋体" w:eastAsia="宋体" w:cs="宋体"/>
                <w:i w:val="0"/>
                <w:iCs w:val="0"/>
                <w:color w:val="000000"/>
                <w:sz w:val="24"/>
                <w:szCs w:val="24"/>
                <w:u w:val="none"/>
              </w:rPr>
            </w:pPr>
          </w:p>
        </w:tc>
        <w:tc>
          <w:tcPr>
            <w:tcW w:w="0" w:type="auto"/>
            <w:tcBorders>
              <w:tl2br w:val="nil"/>
              <w:tr2bl w:val="nil"/>
            </w:tcBorders>
            <w:noWrap w:val="0"/>
            <w:vAlign w:val="center"/>
          </w:tcPr>
          <w:p w14:paraId="2F6EFE2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车辆管理系统软件</w:t>
            </w:r>
          </w:p>
        </w:tc>
        <w:tc>
          <w:tcPr>
            <w:tcW w:w="0" w:type="auto"/>
            <w:tcBorders>
              <w:tl2br w:val="nil"/>
              <w:tr2bl w:val="nil"/>
            </w:tcBorders>
            <w:noWrap/>
            <w:vAlign w:val="center"/>
          </w:tcPr>
          <w:p w14:paraId="4E361D2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l2br w:val="nil"/>
              <w:tr2bl w:val="nil"/>
            </w:tcBorders>
            <w:noWrap/>
            <w:vAlign w:val="center"/>
          </w:tcPr>
          <w:p w14:paraId="6D110A1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56AA2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vMerge w:val="restart"/>
            <w:tcBorders>
              <w:tl2br w:val="nil"/>
              <w:tr2bl w:val="nil"/>
            </w:tcBorders>
            <w:noWrap/>
            <w:vAlign w:val="center"/>
          </w:tcPr>
          <w:p w14:paraId="2F7478B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w:t>
            </w:r>
          </w:p>
        </w:tc>
        <w:tc>
          <w:tcPr>
            <w:tcW w:w="0" w:type="auto"/>
            <w:vMerge w:val="restart"/>
            <w:tcBorders>
              <w:tl2br w:val="nil"/>
              <w:tr2bl w:val="nil"/>
            </w:tcBorders>
            <w:noWrap/>
            <w:vAlign w:val="center"/>
          </w:tcPr>
          <w:p w14:paraId="4A45533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人员管理模块</w:t>
            </w:r>
          </w:p>
        </w:tc>
        <w:tc>
          <w:tcPr>
            <w:tcW w:w="0" w:type="auto"/>
            <w:tcBorders>
              <w:tl2br w:val="nil"/>
              <w:tr2bl w:val="nil"/>
            </w:tcBorders>
            <w:noWrap w:val="0"/>
            <w:vAlign w:val="center"/>
          </w:tcPr>
          <w:p w14:paraId="0AD56A5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人脸识别一体机</w:t>
            </w:r>
          </w:p>
        </w:tc>
        <w:tc>
          <w:tcPr>
            <w:tcW w:w="0" w:type="auto"/>
            <w:tcBorders>
              <w:tl2br w:val="nil"/>
              <w:tr2bl w:val="nil"/>
            </w:tcBorders>
            <w:noWrap/>
            <w:vAlign w:val="center"/>
          </w:tcPr>
          <w:p w14:paraId="67C6020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l2br w:val="nil"/>
              <w:tr2bl w:val="nil"/>
            </w:tcBorders>
            <w:noWrap/>
            <w:vAlign w:val="center"/>
          </w:tcPr>
          <w:p w14:paraId="46B94FE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2B38B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vMerge w:val="continue"/>
            <w:tcBorders>
              <w:tl2br w:val="nil"/>
              <w:tr2bl w:val="nil"/>
            </w:tcBorders>
            <w:noWrap/>
            <w:vAlign w:val="center"/>
          </w:tcPr>
          <w:p w14:paraId="0BD7DDF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p>
        </w:tc>
        <w:tc>
          <w:tcPr>
            <w:tcW w:w="0" w:type="auto"/>
            <w:vMerge w:val="continue"/>
            <w:tcBorders>
              <w:tl2br w:val="nil"/>
              <w:tr2bl w:val="nil"/>
            </w:tcBorders>
            <w:noWrap/>
            <w:vAlign w:val="center"/>
          </w:tcPr>
          <w:p w14:paraId="04DD1FF8">
            <w:pPr>
              <w:pageBreakBefore w:val="0"/>
              <w:kinsoku/>
              <w:wordWrap/>
              <w:topLinePunct w:val="0"/>
              <w:bidi w:val="0"/>
              <w:spacing w:line="240" w:lineRule="auto"/>
              <w:jc w:val="center"/>
              <w:rPr>
                <w:rFonts w:hint="eastAsia" w:ascii="宋体" w:hAnsi="宋体" w:eastAsia="宋体" w:cs="宋体"/>
                <w:i w:val="0"/>
                <w:iCs w:val="0"/>
                <w:color w:val="000000"/>
                <w:sz w:val="24"/>
                <w:szCs w:val="24"/>
                <w:u w:val="none"/>
              </w:rPr>
            </w:pPr>
          </w:p>
        </w:tc>
        <w:tc>
          <w:tcPr>
            <w:tcW w:w="0" w:type="auto"/>
            <w:tcBorders>
              <w:tl2br w:val="nil"/>
              <w:tr2bl w:val="nil"/>
            </w:tcBorders>
            <w:noWrap w:val="0"/>
            <w:vAlign w:val="center"/>
          </w:tcPr>
          <w:p w14:paraId="1198766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人行闸机</w:t>
            </w:r>
          </w:p>
        </w:tc>
        <w:tc>
          <w:tcPr>
            <w:tcW w:w="0" w:type="auto"/>
            <w:tcBorders>
              <w:tl2br w:val="nil"/>
              <w:tr2bl w:val="nil"/>
            </w:tcBorders>
            <w:noWrap/>
            <w:vAlign w:val="center"/>
          </w:tcPr>
          <w:p w14:paraId="5D41538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l2br w:val="nil"/>
              <w:tr2bl w:val="nil"/>
            </w:tcBorders>
            <w:noWrap/>
            <w:vAlign w:val="center"/>
          </w:tcPr>
          <w:p w14:paraId="1122D80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55FB7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vMerge w:val="continue"/>
            <w:tcBorders>
              <w:tl2br w:val="nil"/>
              <w:tr2bl w:val="nil"/>
            </w:tcBorders>
            <w:noWrap/>
            <w:vAlign w:val="center"/>
          </w:tcPr>
          <w:p w14:paraId="7A4AE5B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p>
        </w:tc>
        <w:tc>
          <w:tcPr>
            <w:tcW w:w="0" w:type="auto"/>
            <w:vMerge w:val="continue"/>
            <w:tcBorders>
              <w:tl2br w:val="nil"/>
              <w:tr2bl w:val="nil"/>
            </w:tcBorders>
            <w:noWrap/>
            <w:vAlign w:val="center"/>
          </w:tcPr>
          <w:p w14:paraId="10998E94">
            <w:pPr>
              <w:pageBreakBefore w:val="0"/>
              <w:kinsoku/>
              <w:wordWrap/>
              <w:topLinePunct w:val="0"/>
              <w:bidi w:val="0"/>
              <w:spacing w:line="240" w:lineRule="auto"/>
              <w:jc w:val="center"/>
              <w:rPr>
                <w:rFonts w:hint="eastAsia" w:ascii="宋体" w:hAnsi="宋体" w:eastAsia="宋体" w:cs="宋体"/>
                <w:i w:val="0"/>
                <w:iCs w:val="0"/>
                <w:color w:val="000000"/>
                <w:sz w:val="24"/>
                <w:szCs w:val="24"/>
                <w:u w:val="none"/>
              </w:rPr>
            </w:pPr>
          </w:p>
        </w:tc>
        <w:tc>
          <w:tcPr>
            <w:tcW w:w="0" w:type="auto"/>
            <w:tcBorders>
              <w:tl2br w:val="nil"/>
              <w:tr2bl w:val="nil"/>
            </w:tcBorders>
            <w:noWrap w:val="0"/>
            <w:vAlign w:val="center"/>
          </w:tcPr>
          <w:p w14:paraId="401755C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人员管理系统软件</w:t>
            </w:r>
          </w:p>
        </w:tc>
        <w:tc>
          <w:tcPr>
            <w:tcW w:w="0" w:type="auto"/>
            <w:tcBorders>
              <w:tl2br w:val="nil"/>
              <w:tr2bl w:val="nil"/>
            </w:tcBorders>
            <w:noWrap/>
            <w:vAlign w:val="center"/>
          </w:tcPr>
          <w:p w14:paraId="343C61E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l2br w:val="nil"/>
              <w:tr2bl w:val="nil"/>
            </w:tcBorders>
            <w:noWrap/>
            <w:vAlign w:val="center"/>
          </w:tcPr>
          <w:p w14:paraId="1B4D2A8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08373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vMerge w:val="restart"/>
            <w:tcBorders>
              <w:tl2br w:val="nil"/>
              <w:tr2bl w:val="nil"/>
            </w:tcBorders>
            <w:noWrap/>
            <w:vAlign w:val="center"/>
          </w:tcPr>
          <w:p w14:paraId="74BDBD2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w:t>
            </w:r>
          </w:p>
        </w:tc>
        <w:tc>
          <w:tcPr>
            <w:tcW w:w="0" w:type="auto"/>
            <w:vMerge w:val="restart"/>
            <w:tcBorders>
              <w:tl2br w:val="nil"/>
              <w:tr2bl w:val="nil"/>
            </w:tcBorders>
            <w:noWrap/>
            <w:vAlign w:val="center"/>
          </w:tcPr>
          <w:p w14:paraId="7CDBE4A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监控存储模块</w:t>
            </w:r>
          </w:p>
        </w:tc>
        <w:tc>
          <w:tcPr>
            <w:tcW w:w="0" w:type="auto"/>
            <w:tcBorders>
              <w:tl2br w:val="nil"/>
              <w:tr2bl w:val="nil"/>
            </w:tcBorders>
            <w:noWrap w:val="0"/>
            <w:vAlign w:val="center"/>
          </w:tcPr>
          <w:p w14:paraId="7B19791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存储服务器</w:t>
            </w:r>
          </w:p>
        </w:tc>
        <w:tc>
          <w:tcPr>
            <w:tcW w:w="0" w:type="auto"/>
            <w:tcBorders>
              <w:tl2br w:val="nil"/>
              <w:tr2bl w:val="nil"/>
            </w:tcBorders>
            <w:noWrap/>
            <w:vAlign w:val="center"/>
          </w:tcPr>
          <w:p w14:paraId="5CEFBEC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w:t>
            </w:r>
          </w:p>
        </w:tc>
        <w:tc>
          <w:tcPr>
            <w:tcW w:w="0" w:type="auto"/>
            <w:tcBorders>
              <w:tl2br w:val="nil"/>
              <w:tr2bl w:val="nil"/>
            </w:tcBorders>
            <w:noWrap/>
            <w:vAlign w:val="center"/>
          </w:tcPr>
          <w:p w14:paraId="516AE5F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6AE78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vMerge w:val="continue"/>
            <w:tcBorders>
              <w:tl2br w:val="nil"/>
              <w:tr2bl w:val="nil"/>
            </w:tcBorders>
            <w:noWrap/>
            <w:vAlign w:val="center"/>
          </w:tcPr>
          <w:p w14:paraId="204CBBD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p>
        </w:tc>
        <w:tc>
          <w:tcPr>
            <w:tcW w:w="0" w:type="auto"/>
            <w:vMerge w:val="continue"/>
            <w:tcBorders>
              <w:tl2br w:val="nil"/>
              <w:tr2bl w:val="nil"/>
            </w:tcBorders>
            <w:noWrap/>
            <w:vAlign w:val="center"/>
          </w:tcPr>
          <w:p w14:paraId="18AA06AB">
            <w:pPr>
              <w:pageBreakBefore w:val="0"/>
              <w:kinsoku/>
              <w:wordWrap/>
              <w:topLinePunct w:val="0"/>
              <w:bidi w:val="0"/>
              <w:spacing w:line="240" w:lineRule="auto"/>
              <w:jc w:val="center"/>
              <w:rPr>
                <w:rFonts w:hint="eastAsia" w:ascii="宋体" w:hAnsi="宋体" w:eastAsia="宋体" w:cs="宋体"/>
                <w:i w:val="0"/>
                <w:iCs w:val="0"/>
                <w:color w:val="000000"/>
                <w:sz w:val="24"/>
                <w:szCs w:val="24"/>
                <w:u w:val="none"/>
              </w:rPr>
            </w:pPr>
          </w:p>
        </w:tc>
        <w:tc>
          <w:tcPr>
            <w:tcW w:w="0" w:type="auto"/>
            <w:tcBorders>
              <w:tl2br w:val="nil"/>
              <w:tr2bl w:val="nil"/>
            </w:tcBorders>
            <w:noWrap w:val="0"/>
            <w:vAlign w:val="center"/>
          </w:tcPr>
          <w:p w14:paraId="24BB31E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8T硬盘</w:t>
            </w:r>
          </w:p>
        </w:tc>
        <w:tc>
          <w:tcPr>
            <w:tcW w:w="0" w:type="auto"/>
            <w:tcBorders>
              <w:tl2br w:val="nil"/>
              <w:tr2bl w:val="nil"/>
            </w:tcBorders>
            <w:noWrap/>
            <w:vAlign w:val="center"/>
          </w:tcPr>
          <w:p w14:paraId="5C4AA70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296</w:t>
            </w:r>
          </w:p>
        </w:tc>
        <w:tc>
          <w:tcPr>
            <w:tcW w:w="0" w:type="auto"/>
            <w:tcBorders>
              <w:tl2br w:val="nil"/>
              <w:tr2bl w:val="nil"/>
            </w:tcBorders>
            <w:noWrap/>
            <w:vAlign w:val="center"/>
          </w:tcPr>
          <w:p w14:paraId="7A9CA2F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r>
      <w:tr w14:paraId="2DFF4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vMerge w:val="continue"/>
            <w:tcBorders>
              <w:tl2br w:val="nil"/>
              <w:tr2bl w:val="nil"/>
            </w:tcBorders>
            <w:noWrap/>
            <w:vAlign w:val="center"/>
          </w:tcPr>
          <w:p w14:paraId="50A5887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p>
        </w:tc>
        <w:tc>
          <w:tcPr>
            <w:tcW w:w="0" w:type="auto"/>
            <w:vMerge w:val="continue"/>
            <w:tcBorders>
              <w:tl2br w:val="nil"/>
              <w:tr2bl w:val="nil"/>
            </w:tcBorders>
            <w:noWrap/>
            <w:vAlign w:val="center"/>
          </w:tcPr>
          <w:p w14:paraId="2FA6A4C7">
            <w:pPr>
              <w:pageBreakBefore w:val="0"/>
              <w:kinsoku/>
              <w:wordWrap/>
              <w:topLinePunct w:val="0"/>
              <w:bidi w:val="0"/>
              <w:spacing w:line="240" w:lineRule="auto"/>
              <w:jc w:val="center"/>
              <w:rPr>
                <w:rFonts w:hint="eastAsia" w:ascii="宋体" w:hAnsi="宋体" w:eastAsia="宋体" w:cs="宋体"/>
                <w:i w:val="0"/>
                <w:iCs w:val="0"/>
                <w:color w:val="000000"/>
                <w:sz w:val="24"/>
                <w:szCs w:val="24"/>
                <w:u w:val="none"/>
              </w:rPr>
            </w:pPr>
          </w:p>
        </w:tc>
        <w:tc>
          <w:tcPr>
            <w:tcW w:w="0" w:type="auto"/>
            <w:tcBorders>
              <w:tl2br w:val="nil"/>
              <w:tr2bl w:val="nil"/>
            </w:tcBorders>
            <w:noWrap w:val="0"/>
            <w:vAlign w:val="center"/>
          </w:tcPr>
          <w:p w14:paraId="3C81AE8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存储管理系统软件</w:t>
            </w:r>
          </w:p>
        </w:tc>
        <w:tc>
          <w:tcPr>
            <w:tcW w:w="0" w:type="auto"/>
            <w:tcBorders>
              <w:tl2br w:val="nil"/>
              <w:tr2bl w:val="nil"/>
            </w:tcBorders>
            <w:noWrap/>
            <w:vAlign w:val="center"/>
          </w:tcPr>
          <w:p w14:paraId="6539DF6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l2br w:val="nil"/>
              <w:tr2bl w:val="nil"/>
            </w:tcBorders>
            <w:noWrap/>
            <w:vAlign w:val="center"/>
          </w:tcPr>
          <w:p w14:paraId="553B13A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47C24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tcBorders>
              <w:tl2br w:val="nil"/>
              <w:tr2bl w:val="nil"/>
            </w:tcBorders>
            <w:noWrap/>
            <w:vAlign w:val="center"/>
          </w:tcPr>
          <w:p w14:paraId="3C04693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w:t>
            </w:r>
          </w:p>
        </w:tc>
        <w:tc>
          <w:tcPr>
            <w:tcW w:w="0" w:type="auto"/>
            <w:tcBorders>
              <w:tl2br w:val="nil"/>
              <w:tr2bl w:val="nil"/>
            </w:tcBorders>
            <w:noWrap/>
            <w:vAlign w:val="center"/>
          </w:tcPr>
          <w:p w14:paraId="79C5BC3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平台服务器</w:t>
            </w:r>
          </w:p>
        </w:tc>
        <w:tc>
          <w:tcPr>
            <w:tcW w:w="0" w:type="auto"/>
            <w:tcBorders>
              <w:tl2br w:val="nil"/>
              <w:tr2bl w:val="nil"/>
            </w:tcBorders>
            <w:noWrap w:val="0"/>
            <w:vAlign w:val="center"/>
          </w:tcPr>
          <w:p w14:paraId="259B261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校园安防管理平台</w:t>
            </w:r>
          </w:p>
        </w:tc>
        <w:tc>
          <w:tcPr>
            <w:tcW w:w="0" w:type="auto"/>
            <w:tcBorders>
              <w:tl2br w:val="nil"/>
              <w:tr2bl w:val="nil"/>
            </w:tcBorders>
            <w:noWrap/>
            <w:vAlign w:val="center"/>
          </w:tcPr>
          <w:p w14:paraId="3B0C3F0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l2br w:val="nil"/>
              <w:tr2bl w:val="nil"/>
            </w:tcBorders>
            <w:noWrap/>
            <w:vAlign w:val="center"/>
          </w:tcPr>
          <w:p w14:paraId="6D0F359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77EB6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tcBorders>
              <w:tl2br w:val="nil"/>
              <w:tr2bl w:val="nil"/>
            </w:tcBorders>
            <w:noWrap/>
            <w:vAlign w:val="center"/>
          </w:tcPr>
          <w:p w14:paraId="6CD942E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w:t>
            </w:r>
          </w:p>
        </w:tc>
        <w:tc>
          <w:tcPr>
            <w:tcW w:w="0" w:type="auto"/>
            <w:tcBorders>
              <w:tl2br w:val="nil"/>
              <w:tr2bl w:val="nil"/>
            </w:tcBorders>
            <w:noWrap/>
            <w:vAlign w:val="center"/>
          </w:tcPr>
          <w:p w14:paraId="21FC017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配套设施</w:t>
            </w:r>
          </w:p>
        </w:tc>
        <w:tc>
          <w:tcPr>
            <w:tcW w:w="0" w:type="auto"/>
            <w:tcBorders>
              <w:tl2br w:val="nil"/>
              <w:tr2bl w:val="nil"/>
            </w:tcBorders>
            <w:noWrap w:val="0"/>
            <w:vAlign w:val="center"/>
          </w:tcPr>
          <w:p w14:paraId="25B3EE3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六类网线、电源线、摄像机电源、球机电源、交换机电源、服务器电源、机柜专用PDU</w:t>
            </w:r>
          </w:p>
        </w:tc>
        <w:tc>
          <w:tcPr>
            <w:tcW w:w="0" w:type="auto"/>
            <w:tcBorders>
              <w:tl2br w:val="nil"/>
              <w:tr2bl w:val="nil"/>
            </w:tcBorders>
            <w:noWrap/>
            <w:vAlign w:val="center"/>
          </w:tcPr>
          <w:p w14:paraId="5ED6429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l2br w:val="nil"/>
              <w:tr2bl w:val="nil"/>
            </w:tcBorders>
            <w:noWrap/>
            <w:vAlign w:val="center"/>
          </w:tcPr>
          <w:p w14:paraId="63BE4FA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r>
      <w:tr w14:paraId="2B397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vMerge w:val="restart"/>
            <w:tcBorders>
              <w:tl2br w:val="nil"/>
              <w:tr2bl w:val="nil"/>
            </w:tcBorders>
            <w:noWrap/>
            <w:vAlign w:val="center"/>
          </w:tcPr>
          <w:p w14:paraId="6983A28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w:t>
            </w:r>
          </w:p>
        </w:tc>
        <w:tc>
          <w:tcPr>
            <w:tcW w:w="0" w:type="auto"/>
            <w:vMerge w:val="restart"/>
            <w:tcBorders>
              <w:tl2br w:val="nil"/>
              <w:tr2bl w:val="nil"/>
            </w:tcBorders>
            <w:noWrap/>
            <w:vAlign w:val="center"/>
          </w:tcPr>
          <w:p w14:paraId="2DD7F39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电视墙</w:t>
            </w:r>
          </w:p>
        </w:tc>
        <w:tc>
          <w:tcPr>
            <w:tcW w:w="0" w:type="auto"/>
            <w:tcBorders>
              <w:tl2br w:val="nil"/>
              <w:tr2bl w:val="nil"/>
            </w:tcBorders>
            <w:noWrap w:val="0"/>
            <w:vAlign w:val="center"/>
          </w:tcPr>
          <w:p w14:paraId="3D06C9A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消控室46寸拼接屏</w:t>
            </w:r>
          </w:p>
        </w:tc>
        <w:tc>
          <w:tcPr>
            <w:tcW w:w="0" w:type="auto"/>
            <w:tcBorders>
              <w:tl2br w:val="nil"/>
              <w:tr2bl w:val="nil"/>
            </w:tcBorders>
            <w:noWrap/>
            <w:vAlign w:val="center"/>
          </w:tcPr>
          <w:p w14:paraId="6482D1C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l2br w:val="nil"/>
              <w:tr2bl w:val="nil"/>
            </w:tcBorders>
            <w:noWrap/>
            <w:vAlign w:val="center"/>
          </w:tcPr>
          <w:p w14:paraId="64E87BB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r>
      <w:tr w14:paraId="065E3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vMerge w:val="continue"/>
            <w:tcBorders>
              <w:tl2br w:val="nil"/>
              <w:tr2bl w:val="nil"/>
            </w:tcBorders>
            <w:noWrap/>
            <w:vAlign w:val="center"/>
          </w:tcPr>
          <w:p w14:paraId="70DF01E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p>
        </w:tc>
        <w:tc>
          <w:tcPr>
            <w:tcW w:w="0" w:type="auto"/>
            <w:vMerge w:val="continue"/>
            <w:tcBorders>
              <w:tl2br w:val="nil"/>
              <w:tr2bl w:val="nil"/>
            </w:tcBorders>
            <w:noWrap/>
            <w:vAlign w:val="center"/>
          </w:tcPr>
          <w:p w14:paraId="46C2ABCB">
            <w:pPr>
              <w:pageBreakBefore w:val="0"/>
              <w:kinsoku/>
              <w:wordWrap/>
              <w:topLinePunct w:val="0"/>
              <w:bidi w:val="0"/>
              <w:spacing w:line="240" w:lineRule="auto"/>
              <w:jc w:val="center"/>
              <w:rPr>
                <w:rFonts w:hint="eastAsia" w:ascii="宋体" w:hAnsi="宋体" w:eastAsia="宋体" w:cs="宋体"/>
                <w:i w:val="0"/>
                <w:iCs w:val="0"/>
                <w:color w:val="000000"/>
                <w:sz w:val="24"/>
                <w:szCs w:val="24"/>
                <w:u w:val="none"/>
              </w:rPr>
            </w:pPr>
          </w:p>
        </w:tc>
        <w:tc>
          <w:tcPr>
            <w:tcW w:w="0" w:type="auto"/>
            <w:tcBorders>
              <w:tl2br w:val="nil"/>
              <w:tr2bl w:val="nil"/>
            </w:tcBorders>
            <w:noWrap w:val="0"/>
            <w:vAlign w:val="center"/>
          </w:tcPr>
          <w:p w14:paraId="0A95EB8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宿舍区显示屏</w:t>
            </w:r>
          </w:p>
        </w:tc>
        <w:tc>
          <w:tcPr>
            <w:tcW w:w="0" w:type="auto"/>
            <w:tcBorders>
              <w:tl2br w:val="nil"/>
              <w:tr2bl w:val="nil"/>
            </w:tcBorders>
            <w:noWrap/>
            <w:vAlign w:val="center"/>
          </w:tcPr>
          <w:p w14:paraId="69D43F0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l2br w:val="nil"/>
              <w:tr2bl w:val="nil"/>
            </w:tcBorders>
            <w:noWrap/>
            <w:vAlign w:val="center"/>
          </w:tcPr>
          <w:p w14:paraId="46539DE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r>
      <w:tr w14:paraId="20C8A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vMerge w:val="restart"/>
            <w:tcBorders>
              <w:tl2br w:val="nil"/>
              <w:tr2bl w:val="nil"/>
            </w:tcBorders>
            <w:noWrap/>
            <w:vAlign w:val="center"/>
          </w:tcPr>
          <w:p w14:paraId="34A4B4F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w:t>
            </w:r>
          </w:p>
        </w:tc>
        <w:tc>
          <w:tcPr>
            <w:tcW w:w="0" w:type="auto"/>
            <w:vMerge w:val="restart"/>
            <w:tcBorders>
              <w:tl2br w:val="nil"/>
              <w:tr2bl w:val="nil"/>
            </w:tcBorders>
            <w:noWrap/>
            <w:vAlign w:val="center"/>
          </w:tcPr>
          <w:p w14:paraId="41C7BF1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高清解码器</w:t>
            </w:r>
          </w:p>
        </w:tc>
        <w:tc>
          <w:tcPr>
            <w:tcW w:w="0" w:type="auto"/>
            <w:tcBorders>
              <w:tl2br w:val="nil"/>
              <w:tr2bl w:val="nil"/>
            </w:tcBorders>
            <w:noWrap w:val="0"/>
            <w:vAlign w:val="center"/>
          </w:tcPr>
          <w:p w14:paraId="2C1D920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消控室16路高清解码器</w:t>
            </w:r>
          </w:p>
        </w:tc>
        <w:tc>
          <w:tcPr>
            <w:tcW w:w="0" w:type="auto"/>
            <w:tcBorders>
              <w:tl2br w:val="nil"/>
              <w:tr2bl w:val="nil"/>
            </w:tcBorders>
            <w:noWrap/>
            <w:vAlign w:val="center"/>
          </w:tcPr>
          <w:p w14:paraId="63C56B7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l2br w:val="nil"/>
              <w:tr2bl w:val="nil"/>
            </w:tcBorders>
            <w:noWrap/>
            <w:vAlign w:val="center"/>
          </w:tcPr>
          <w:p w14:paraId="1328686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33719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0" w:type="auto"/>
            <w:vMerge w:val="continue"/>
            <w:tcBorders>
              <w:tl2br w:val="nil"/>
              <w:tr2bl w:val="nil"/>
            </w:tcBorders>
            <w:noWrap/>
            <w:vAlign w:val="center"/>
          </w:tcPr>
          <w:p w14:paraId="0E6B177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p>
        </w:tc>
        <w:tc>
          <w:tcPr>
            <w:tcW w:w="0" w:type="auto"/>
            <w:vMerge w:val="continue"/>
            <w:tcBorders>
              <w:tl2br w:val="nil"/>
              <w:tr2bl w:val="nil"/>
            </w:tcBorders>
            <w:noWrap/>
            <w:vAlign w:val="center"/>
          </w:tcPr>
          <w:p w14:paraId="57CC9E9C">
            <w:pPr>
              <w:pageBreakBefore w:val="0"/>
              <w:kinsoku/>
              <w:wordWrap/>
              <w:topLinePunct w:val="0"/>
              <w:bidi w:val="0"/>
              <w:spacing w:line="240" w:lineRule="auto"/>
              <w:jc w:val="center"/>
              <w:rPr>
                <w:rFonts w:hint="eastAsia" w:ascii="宋体" w:hAnsi="宋体" w:eastAsia="宋体" w:cs="宋体"/>
                <w:i w:val="0"/>
                <w:iCs w:val="0"/>
                <w:color w:val="000000"/>
                <w:sz w:val="24"/>
                <w:szCs w:val="24"/>
                <w:u w:val="none"/>
              </w:rPr>
            </w:pPr>
          </w:p>
        </w:tc>
        <w:tc>
          <w:tcPr>
            <w:tcW w:w="0" w:type="auto"/>
            <w:tcBorders>
              <w:tl2br w:val="nil"/>
              <w:tr2bl w:val="nil"/>
            </w:tcBorders>
            <w:noWrap w:val="0"/>
            <w:vAlign w:val="center"/>
          </w:tcPr>
          <w:p w14:paraId="11F7DAB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宿舍区单路高清解码器</w:t>
            </w:r>
          </w:p>
        </w:tc>
        <w:tc>
          <w:tcPr>
            <w:tcW w:w="0" w:type="auto"/>
            <w:tcBorders>
              <w:tl2br w:val="nil"/>
              <w:tr2bl w:val="nil"/>
            </w:tcBorders>
            <w:noWrap/>
            <w:vAlign w:val="center"/>
          </w:tcPr>
          <w:p w14:paraId="5341E2C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l2br w:val="nil"/>
              <w:tr2bl w:val="nil"/>
            </w:tcBorders>
            <w:noWrap/>
            <w:vAlign w:val="center"/>
          </w:tcPr>
          <w:p w14:paraId="1B03C03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bl>
    <w:p w14:paraId="6371F3FF">
      <w:pPr>
        <w:pageBreakBefore w:val="0"/>
        <w:kinsoku/>
        <w:wordWrap/>
        <w:topLinePunct w:val="0"/>
        <w:bidi w:val="0"/>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说明：以上设备数量仅陈列大部分，建设年限自201</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年建设至今，具体设备型号，由供应商自行勘察。</w:t>
      </w:r>
    </w:p>
    <w:p w14:paraId="6A40C5CA">
      <w:pPr>
        <w:pageBreakBefore w:val="0"/>
        <w:kinsoku/>
        <w:wordWrap/>
        <w:topLinePunct w:val="0"/>
        <w:bidi w:val="0"/>
        <w:spacing w:line="360" w:lineRule="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六、维保要求</w:t>
      </w:r>
    </w:p>
    <w:p w14:paraId="21ED4DC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（一）前后端设备保养与巡检</w:t>
      </w:r>
    </w:p>
    <w:p w14:paraId="4DBB2CD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对维护范围内的前后端设备、线路、软件系统等运行情况按要求进行保养、巡检，并每天在线填报保养和巡检记录。保养包含但不限于必要的耗材更换、设备清洁、线路整理和安全隐患排查等；巡检包含但不限于前端设备的工作状态、存储器情况、服务器情况、录像清晰度、网络通讯状况等。</w:t>
      </w:r>
    </w:p>
    <w:p w14:paraId="26DAEAD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（二）前后端设备维修与更换</w:t>
      </w:r>
    </w:p>
    <w:p w14:paraId="6303995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对维护范围内的前后端设备、线路进行维修，对无法维修的设备根据学校审批流程进行同型号更换（若同型号设备已停产，需出具厂家证明，并提供替代产品且性能不得低于原设备）。因其它项目施工、人为破坏、自然灾害等非设备原因导致发生的运行故障不属于本项目范围，但应及时向学校报告，并配合完成相关设备设施修复。</w:t>
      </w:r>
    </w:p>
    <w:p w14:paraId="1E12618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cs="宋体"/>
          <w:sz w:val="24"/>
          <w:szCs w:val="24"/>
          <w:lang w:eastAsia="zh-CN"/>
        </w:rPr>
      </w:pPr>
      <w:r>
        <w:rPr>
          <w:rFonts w:hint="eastAsia" w:ascii="宋体" w:hAnsi="宋体" w:eastAsia="宋体" w:cs="宋体"/>
          <w:sz w:val="24"/>
          <w:szCs w:val="24"/>
        </w:rPr>
        <w:t>如有监控专用设备损坏（如摄像机、交换机等）需要更换的，校方可以委托供应商按当期市场主导价代为采购，但单价不得高于供应商所投“</w:t>
      </w:r>
      <w:r>
        <w:rPr>
          <w:rFonts w:hint="eastAsia" w:ascii="宋体" w:hAnsi="宋体" w:eastAsia="宋体" w:cs="宋体"/>
          <w:sz w:val="24"/>
          <w:szCs w:val="24"/>
          <w:u w:val="single"/>
          <w:lang w:eastAsia="zh-CN"/>
        </w:rPr>
        <w:t>安防系统运维</w:t>
      </w:r>
      <w:r>
        <w:rPr>
          <w:rFonts w:hint="eastAsia" w:ascii="宋体" w:hAnsi="宋体" w:eastAsia="宋体" w:cs="宋体"/>
          <w:sz w:val="24"/>
          <w:szCs w:val="24"/>
          <w:u w:val="single"/>
        </w:rPr>
        <w:t>常用设备报价清单</w:t>
      </w:r>
      <w:r>
        <w:rPr>
          <w:rFonts w:hint="eastAsia" w:ascii="宋体" w:hAnsi="宋体" w:eastAsia="宋体" w:cs="宋体"/>
          <w:sz w:val="24"/>
          <w:szCs w:val="24"/>
          <w:u w:val="none"/>
        </w:rPr>
        <w:t>”</w:t>
      </w:r>
      <w:r>
        <w:rPr>
          <w:rFonts w:hint="eastAsia" w:ascii="宋体" w:hAnsi="宋体" w:eastAsia="宋体" w:cs="宋体"/>
          <w:sz w:val="24"/>
          <w:szCs w:val="24"/>
        </w:rPr>
        <w:t>中的报价（清单内所有设备供应商</w:t>
      </w:r>
      <w:r>
        <w:rPr>
          <w:rFonts w:hint="eastAsia" w:ascii="宋体" w:hAnsi="宋体" w:eastAsia="宋体" w:cs="宋体"/>
          <w:sz w:val="24"/>
          <w:szCs w:val="24"/>
          <w:lang w:eastAsia="zh-CN"/>
        </w:rPr>
        <w:t>需</w:t>
      </w:r>
      <w:r>
        <w:rPr>
          <w:rFonts w:hint="eastAsia" w:ascii="宋体" w:hAnsi="宋体" w:eastAsia="宋体" w:cs="宋体"/>
          <w:sz w:val="24"/>
          <w:szCs w:val="24"/>
        </w:rPr>
        <w:t>提供三年质保）</w:t>
      </w:r>
      <w:r>
        <w:rPr>
          <w:rFonts w:hint="eastAsia" w:cs="宋体"/>
          <w:sz w:val="24"/>
          <w:szCs w:val="24"/>
          <w:lang w:eastAsia="zh-CN"/>
        </w:rPr>
        <w:t>。</w:t>
      </w:r>
    </w:p>
    <w:tbl>
      <w:tblPr>
        <w:tblStyle w:val="13"/>
        <w:tblW w:w="590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2"/>
        <w:gridCol w:w="1171"/>
        <w:gridCol w:w="5175"/>
        <w:gridCol w:w="489"/>
        <w:gridCol w:w="380"/>
        <w:gridCol w:w="901"/>
        <w:gridCol w:w="697"/>
        <w:gridCol w:w="798"/>
      </w:tblGrid>
      <w:tr w14:paraId="05094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B84F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sz w:val="28"/>
                <w:szCs w:val="28"/>
                <w:u w:val="none"/>
                <w:lang w:eastAsia="zh-CN"/>
              </w:rPr>
            </w:pPr>
            <w:r>
              <w:rPr>
                <w:rFonts w:hint="eastAsia" w:ascii="宋体" w:hAnsi="宋体" w:eastAsia="宋体" w:cs="宋体"/>
                <w:sz w:val="28"/>
                <w:szCs w:val="28"/>
                <w:u w:val="none"/>
                <w:lang w:eastAsia="zh-CN"/>
              </w:rPr>
              <w:t>安防系统运维常用设备报价清单</w:t>
            </w:r>
          </w:p>
        </w:tc>
      </w:tr>
      <w:tr w14:paraId="532BF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AE50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序号</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F9E6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名称</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661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参数</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98A5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单位</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535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数量</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F260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cs="宋体"/>
                <w:b w:val="0"/>
                <w:bCs w:val="0"/>
                <w:i w:val="0"/>
                <w:iCs w:val="0"/>
                <w:color w:val="000000"/>
                <w:kern w:val="0"/>
                <w:sz w:val="18"/>
                <w:szCs w:val="18"/>
                <w:u w:val="none"/>
                <w:lang w:val="en-US" w:eastAsia="zh-CN" w:bidi="ar"/>
              </w:rPr>
              <w:t>最高限价（元）</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3A740">
            <w:pPr>
              <w:keepNext w:val="0"/>
              <w:keepLines w:val="0"/>
              <w:pageBreakBefore w:val="0"/>
              <w:widowControl/>
              <w:suppressLineNumbers w:val="0"/>
              <w:kinsoku/>
              <w:wordWrap/>
              <w:topLinePunct w:val="0"/>
              <w:bidi w:val="0"/>
              <w:spacing w:line="240" w:lineRule="auto"/>
              <w:jc w:val="center"/>
              <w:textAlignment w:val="center"/>
              <w:rPr>
                <w:rFonts w:hint="default" w:cs="宋体"/>
                <w:b w:val="0"/>
                <w:bCs w:val="0"/>
                <w:i w:val="0"/>
                <w:iCs w:val="0"/>
                <w:color w:val="FF0000"/>
                <w:kern w:val="0"/>
                <w:sz w:val="18"/>
                <w:szCs w:val="18"/>
                <w:highlight w:val="none"/>
                <w:u w:val="none"/>
                <w:lang w:val="en-US" w:eastAsia="zh-CN" w:bidi="ar"/>
              </w:rPr>
            </w:pPr>
            <w:r>
              <w:rPr>
                <w:rFonts w:hint="eastAsia" w:cs="宋体"/>
                <w:b w:val="0"/>
                <w:bCs w:val="0"/>
                <w:i w:val="0"/>
                <w:iCs w:val="0"/>
                <w:color w:val="FF0000"/>
                <w:kern w:val="0"/>
                <w:sz w:val="18"/>
                <w:szCs w:val="18"/>
                <w:highlight w:val="none"/>
                <w:u w:val="none"/>
                <w:lang w:val="en-US" w:eastAsia="zh-CN" w:bidi="ar"/>
              </w:rPr>
              <w:t>供应商提供设备品牌及型号</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ECA50">
            <w:pPr>
              <w:keepNext w:val="0"/>
              <w:keepLines w:val="0"/>
              <w:pageBreakBefore w:val="0"/>
              <w:widowControl/>
              <w:suppressLineNumbers w:val="0"/>
              <w:kinsoku/>
              <w:wordWrap/>
              <w:topLinePunct w:val="0"/>
              <w:bidi w:val="0"/>
              <w:spacing w:line="240" w:lineRule="auto"/>
              <w:jc w:val="center"/>
              <w:textAlignment w:val="center"/>
              <w:rPr>
                <w:rFonts w:hint="default" w:cs="宋体"/>
                <w:b w:val="0"/>
                <w:bCs w:val="0"/>
                <w:i w:val="0"/>
                <w:iCs w:val="0"/>
                <w:color w:val="FF0000"/>
                <w:kern w:val="0"/>
                <w:sz w:val="18"/>
                <w:szCs w:val="18"/>
                <w:highlight w:val="none"/>
                <w:u w:val="none"/>
                <w:lang w:val="en-US" w:eastAsia="zh-CN" w:bidi="ar"/>
              </w:rPr>
            </w:pPr>
            <w:r>
              <w:rPr>
                <w:rFonts w:hint="eastAsia" w:cs="宋体"/>
                <w:b w:val="0"/>
                <w:bCs w:val="0"/>
                <w:i w:val="0"/>
                <w:iCs w:val="0"/>
                <w:color w:val="FF0000"/>
                <w:kern w:val="0"/>
                <w:sz w:val="18"/>
                <w:szCs w:val="18"/>
                <w:highlight w:val="none"/>
                <w:u w:val="none"/>
                <w:lang w:val="en-US" w:eastAsia="zh-CN" w:bidi="ar"/>
              </w:rPr>
              <w:t>供应商报价（元）</w:t>
            </w:r>
          </w:p>
        </w:tc>
      </w:tr>
      <w:tr w14:paraId="0B7C6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4714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F267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▲400W（POE）全彩枪机</w:t>
            </w:r>
          </w:p>
        </w:tc>
        <w:tc>
          <w:tcPr>
            <w:tcW w:w="25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D1D36">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▲智能动态检测(SMD)功能检验:支持对人、机动车、全部(人或机动车)进行检测,当小狗、树叶等非人或车辆目标经过检测区域时,不会触发报警（提供第三方检测机构出具的封面具有CMA标识的检测报告）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▲智能行为分析功能检验:当以下的智能分析行为达到设定的阈值时,可通过客户端软件或IE浏览器给出报警提示;</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a)绊线入侵;</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b)区域入侵;</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设备支持行为分析触发后联动抓图、录像、目标跟踪、报警上传、发送邮件等多种报警触发方式;设备支持设置6组智能周界规则并进行独立布防,每组的布撤防时间可单独设置,目标在布防区域和布防时间段内出现会触发报警,并联动相关操作;</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可以对人、机动车、全部(人或机动车)进行检测;</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支持对智能行为分析目标方向规则进行设置,可设置方向为A-&gt;B、B-&gt;A、A&lt;-&gt;B3种规则;</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支持灵敏度设置0~10;</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当小动物、灯光、树叶、气球等非人或机动车目标经过检测区域时,不会触发报警;可对目标大小(像素值)范围进行设置,使设备只对预设大小(像素值)范围内的人员及机动车辆进行检测（提供第三方检测机构出具的封面具有CMA标识的检测报告）</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F34F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D9E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269A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930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6826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1B87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1C263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B79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9C85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▲400W（POE）全彩半球</w:t>
            </w:r>
          </w:p>
        </w:tc>
        <w:tc>
          <w:tcPr>
            <w:tcW w:w="2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9625B">
            <w:pPr>
              <w:pageBreakBefore w:val="0"/>
              <w:kinsoku/>
              <w:wordWrap/>
              <w:topLinePunct w:val="0"/>
              <w:bidi w:val="0"/>
              <w:spacing w:line="240" w:lineRule="auto"/>
              <w:jc w:val="left"/>
              <w:rPr>
                <w:rFonts w:hint="eastAsia" w:ascii="宋体" w:hAnsi="宋体" w:eastAsia="宋体" w:cs="宋体"/>
                <w:b w:val="0"/>
                <w:bCs w:val="0"/>
                <w:i w:val="0"/>
                <w:iCs w:val="0"/>
                <w:color w:val="000000"/>
                <w:sz w:val="18"/>
                <w:szCs w:val="18"/>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8EF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0489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3612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930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1804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846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7222D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3749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9CE2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400W全彩球机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3F1FA">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 xml:space="preserve">支持人脸检测；支持优选；支持抓拍；支持上报最优的人脸抓图；支持人脸增强，支持人脸属性提取，6种属性8种表情 </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支持绊线入侵、区域入侵、穿越围栏、徘徊、物品遗留、物品搬移、快速移动、停车、人员聚集检测；支持人车分类报警；支持联动跟踪</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5C4F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7C7F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DB44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3980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640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C355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1F7F7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7935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983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▲400W电梯专用半球</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F2BF2">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当设备镜头被遮挡时可给出报警提示并联动语音报警和白光警戒，遮挡比例可设置；支持内置语音播放,播放次数可设置为1~10次;可将白光设置为常亮和闪烁2种模式,闪烁频率、闪烁时长、闪烁周期可设（提供第三方检测机构出具的封面具有CMA标识的检测报告）</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9148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E7B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E603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930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341F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2DD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56BDC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6DA0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737E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400W警戒摄像机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13723">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周界防范：绊线入侵；区域入侵；徘徊检测；人员聚集；</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报警事件：网络断开；IP冲突；非法访问；动态检测；视频遮挡；绊线入侵；区域入侵；徘徊检测；人员聚集；音频异常侦测；电压检测；SMD；安全异常；</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AE78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0CE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0D61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1650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EFD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BE06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62FE0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C320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C1D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▲800W人脸抓拍摄像机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42332">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在环境光照度低于50lx，可对速度不小于40km/h的机动车，速度不大于25km/h的非机动车，速度不大于5km/h的行人三种同时经过画面的目标进行分类曝光，可抓拍人脸、人体、非机动车和机动车目标，抓拍的人脸和车牌号码图片应清晰可辨，无过曝、欠曝情况。</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▲0.001lux照度下，可自动提升视频画面中人脸与人体目标的亮度。（提供第三方检测机构出具的封面具有CMA标识的检测报告）</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0DDC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BC76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4E02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2800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369E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41A9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362C2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120E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80E0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▲雷达测速一体机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C216D">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1.满足6车道128个目标轨迹跟踪，4车道车牌识别，机动车检测距离最远可达250米；</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可显示车速和车牌内容，显示信息的字体颜色、大小、内容可设置；屏幕可支持区域划分，不同区域显示不同内容；屏幕可根据需求调整语音播报内容；屏幕可分时段进行亮度显示的配置；支持屏幕内容在Web端实时显示；（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3.具有预警设置功能，可配置外接显示屏的IP地址等信息；具有预警对象(机动车、非机动车、行人)、预警保持时间(机动车、非机动车、行人)、预警距离(机动车、非机动车、行人)设置；预警显示信息的字体颜色、大小、内容可设置；屏幕可支持区域划分，不同区域显示不同内容；屏幕可根据需求调整语音播报内容；（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▲4.设备安装高度在3m~6m时，雷达检测正向运动目标的盲区不大于5m（距安装点位的距离）（提供第三方检测机构出具的封面具有CMA标识的检测报告）</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ED5A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6C5F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D636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11600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7308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3A9A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7B05C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2B0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7E97B">
            <w:pPr>
              <w:keepNext w:val="0"/>
              <w:keepLines w:val="0"/>
              <w:pageBreakBefore w:val="0"/>
              <w:widowControl/>
              <w:suppressLineNumbers w:val="0"/>
              <w:kinsoku/>
              <w:wordWrap/>
              <w:topLinePunct w:val="0"/>
              <w:bidi w:val="0"/>
              <w:spacing w:line="240" w:lineRule="auto"/>
              <w:jc w:val="center"/>
              <w:textAlignment w:val="center"/>
              <w:rPr>
                <w:rFonts w:hint="default" w:ascii="宋体" w:hAnsi="宋体" w:eastAsia="宋体" w:cs="宋体"/>
                <w:b w:val="0"/>
                <w:bCs w:val="0"/>
                <w:i w:val="0"/>
                <w:iCs w:val="0"/>
                <w:color w:val="000000"/>
                <w:sz w:val="18"/>
                <w:szCs w:val="18"/>
                <w:u w:val="none"/>
                <w:lang w:val="en-US"/>
              </w:rPr>
            </w:pPr>
            <w:r>
              <w:rPr>
                <w:rFonts w:hint="eastAsia" w:ascii="宋体" w:hAnsi="宋体" w:eastAsia="宋体" w:cs="宋体"/>
                <w:b w:val="0"/>
                <w:bCs w:val="0"/>
                <w:i w:val="0"/>
                <w:iCs w:val="0"/>
                <w:color w:val="000000"/>
                <w:kern w:val="0"/>
                <w:sz w:val="18"/>
                <w:szCs w:val="18"/>
                <w:u w:val="none"/>
                <w:lang w:val="en-US" w:eastAsia="zh-CN" w:bidi="ar"/>
              </w:rPr>
              <w:t>▲双目拼接雷达枪</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0B93F">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▲可通过浏览器设置将画面分为 1+1、1+3、1+5等多种分屏方式显示，子显示画面可进行任意大小、位置调节（提供第三方检测机构出具的封面具有CMA标识的检测报告）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▲分WEB界面可显示雷达画面；支持雷达路和视频路通过目标人物的位置进行手动标定（提供第三方检测机构出具的封面具有CMA标识的检测报告）</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DF40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B91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CB22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3780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103C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A42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7FE36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D2F0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11</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3088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▲双400万双光智能警戒双变焦枪型网络摄像机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CA474">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▲支持双路电动变倍聚焦及一键聚焦（提供第三方检测机构出具的封面具有CMA标识的检测报告）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▲内置4个麦克风、2个扬声器（提供第三方检测机构出具的封面具有CMA标识的检测报告）</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280E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188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7761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0B67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E06B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2FC26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837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12</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5A9B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▲48盘位存储服务器</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65A7E">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支持纠删码技术。最多可以支持16个盘掉线或者损坏，数据仍然有效，保留的硬盘中的数据可正常读出，且新数据可正常写入.创建RAID后即为同步完成状态（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▲2.支持扩展 MiniSAS HD 接口， 支持通过电口 SAS 线或光口 SAS 线进行互联， 能够通过 SAS 线进行上行和下行的数据通信（提供第三方检测机构出具的封面具有CMA标识的检测报告）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▲3.支持任意 N 台设备（N≥2） 通过 SAS数据线组成环状结构集群， 设备集群之间数据能够通过环状结构进行传递和通信， 其中任意 1 台设备都可以访问其下游设备中的数据（提供第三方检测机构出具的封面具有CMA标识的检测报告）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▲4.支持多台设备组成 SAS 数据环集群，当环状结构上的任意 1 个节点出现故障（包括主控盒硬件故障、 软件故障或者网络故障等）， 该节点设备上的硬盘通过 SAS 链路被上游设备接管， 该节点设备的上业务也会迁移到上游设备继续执行， 从而实现业务不中断、录像不丢失， 同时该故障设备的硬盘中数据可以被上游设备读取（提供第三方检测机构出具的封面具有CMA标识的检测报告）</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8E12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FE2C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3E84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33600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EDF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237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7E8AF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1A4D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13</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A779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16路高清解码器</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A4FE7">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1.支持解码轮巡；支持自定义分辨率输出，支持小间距LED对接；支持底色选择；</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2.支持≥2个千兆光口，≥2个千兆电口</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3.每个输出口同时实现40画面分割，每个子画面的主码流是1920*1080，并且帧率稳定在30帧，分辨率和帧率保持不变。</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4.具有1个DP输入口和1个HDMI输入口</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868B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2416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6ADD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C3D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254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4B93E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7B7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14</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C824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平台服务器</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CB23F">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1.尺寸：2U机架式服务器机箱</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2.处理器：1颗国产化ARM架构kunpeng920 CPU，24核 主频2.5GHz</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3.内存：配置64G内存（2根32G DDR4 ECC内存条）4个DDR4 DIMM插槽</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6E31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AEE5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94AB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33000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3C2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F9AE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00724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C2E6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15</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7E8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4口光配盒（含尾纤跳纤）</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A8011">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≥4口光配盒，根据校方实际情况选择接口类型</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A0A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3333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5F9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F4F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2CB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6EC8E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C82A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16</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17E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机架式12口光配盒</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45797">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≥12口机架式光配盒，根据校方实际情况选择接口类型</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D8AC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4C6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3F3B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135</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0B05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064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249F0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608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17</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6CB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千兆光纤收发器</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F16CA">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4个千兆电口、2个光口、4个DC口</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D3CF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对</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BE8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9B9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430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1CB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609C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030EA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E30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18</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21A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电梯专用网桥</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AF7EE">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自动桥接设计、双供电模式</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3AF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对</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0402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6B4F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435</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7245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A6E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10FB5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97F6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19</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D36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光模块</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0C4F4">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千兆光模块，根据校方实际情况确定接口类型</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842F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B1A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136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280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7E1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4FC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17127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26D8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20</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04ED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8口千兆光纤网络非POE交换机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22BAA">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8个千兆电口</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电口速率 10/100/1000Mbps</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业务端口/槽位描述 Port 1-8: 8× RJ-45 10/100/1000Mbps</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供电方式 外置电源适配器:5 VDC,0.8A</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1AE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6188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7E3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335</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883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33BD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3781C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5C3D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21</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52AF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8口千兆光纤网络POE交换机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B1974">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8个RJ-45 10/100/1000Mbps，2个SFP 1/2.5Gbps；无网管，即插即用，简化工程施工部署；全千兆端口设计，保障实时传输，视频流畅；支持IEEE802.3af，IEEE802.3at标准；支持PoE看门狗；支持长距离传输模式；采用全金属无风扇设计，具有高效的机壳表面散热能力；支持桌面式安装/壁挂式安装</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09E4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8338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BCD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930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72B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B54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6146E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C334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22</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07FD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24口千兆POE交换机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A2D4B">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26个RJ-45 10/100/1000 Mbps，2个SFP 100/1000 Mbps；无网管，即插即用，支简化工程施工部署；全千兆端口设计，保障实时传输，视频流畅；支持IEEE802.3af，IEEE802.3at，Hi-PoE，IEEE802.3bt标准；支持PoE看门狗；支持长距离传输模式；采用全金属设计，具有高效的机壳表面散热能力； EMC高防护防雷设计； -10℃～+55℃宽温设计支持桌面式安装/机架式安装</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A930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33A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F86B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3130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D29B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A77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189C2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43EF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23</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D6D6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▲24千兆管理型非POE交换机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BCFA3">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1.交换容量≥600Gbps/6Tbps；包转发率≥150Mpps/210Mpps；（若存在双参数，以较小参数为准）；</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2.千兆POE电口≥24个， 1G/2.5G光口≥4个；Console口≥1个；需提供官网截图证明并加盖厂商公章；</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3.支持IEEE 802.3af/at供电标准，整机最大输出功率≥370W；</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4.支持MAC地址≥16K；</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5.▲支持以下上线方式：支持二层广播自动发现网管中心平台；支持配置静态IP地址三层发现网管中心平台；支持DHCP Option43方式发现网管中心平台；支持DNS域名发现网管中心平台；要求提供具有CMA和CNAS认证章的第三方权威机构测试报告；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6.▲支持终端类型库，基于指纹自动识别PC、路由器、摄像头设备、无线AP等；要求提供具有CMA和CNAS认证章的第三方权威机构测试报告；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7.▲为满足网络安全建设需求，交换机需满足《信息安全技术 交换机安全技术要求 GA/T 684-2007》,符合安全交换机标准，提供与之对应的权威机构出具的检测报告；</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5CA1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8F9B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F8B3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4380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2D7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4EE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604F4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C8E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24</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3EF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▲24千兆管理型POE交换机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6F07D">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1.交换容量≥600Gbps/6Tbps；包转发率≥120Mpps/170Mpps；（若存在双参数，以较小参数为准）；</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2.千兆电口≥24个， 1G/2.5G光口≥4个；Console口≥1个；需提供官网截图证明并加盖厂商公章；</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3.支持MAC地址自动学习；支持源MAC地址过滤；支持接口MAC地址学习个数限制；</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4.支持MAC地址≥16K；</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5.▲支持以下上线方式：支持二层广播自动发现网管中心平台；支持配置静态IP地址三层发现网管中心平台；支持DHCP Option43方式发现网管中心平台；支持DNS域名发现网管中心平台；要求提供具有CMA和CNAS认证章的第三方权威机构测试报告；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6.▲支持基于终端类型自动识别结果，禁止非法终端(例如私接路由器)接入；要求提供具有CMA和CNAS认证章的第三方权威机构测试报告；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7.▲为满足网络安全建设需求，交换机需满足《信息安全技术 交换机安全技术要求 GA/T 684-2007》,符合安全交换机标准，提供与之对应的权威机构出具的检测报告；</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856D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8B3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4841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4800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436E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BAF7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24C48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781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25</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F11F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▲48口千兆管理型交换机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02B7B">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1.交换容量≥600Gbps/6Tbps；包转发率≥160Mpps/210Mpps；（若存在双参数，以较小参数为准）；</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2.千兆电口≥48个，千兆SFP光口≥4个；Console口≥1个，Manage口≥1个；需提供官网截图证明并加盖厂商公章；</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3.支持MAC地址≥32K；</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4.支持IGMP v1/v2/v3 Snooping；支持STP、RSTP、MSTP协议；支持端口聚合，支持手工和静态LACP；</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5.▲支持M-LAG技术，跨设备链路聚合（非堆叠技术实现），要求配对的设备有独立的控制平面；要求提供具有CMA和CNAS认证章的第三方权威机构测试报告；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6.▲支持通过网管中心平台一键替换“按钮”即可完成故障设备替换；要求提供具有CMA和CNAS认证章的第三方权威机构测试报告；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7.▲为满足网络安全建设需求，交换机需满足《信息安全技术 交换机安全技术要求 GA/T 684-2007》,符合安全交换机标准，提供与之对应的权威机构出具的检测报告；</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222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E7CE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FA88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5890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94B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6F10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10A6B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7AE7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26</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FEE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▲核心交换机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B99FE">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1.交换容量≥2Tbps/20Tbps；包转发率≥750Mpps/800Mpps；（若存在双参数，以较小参数为准）以上需提供官网截图证明；</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2.千兆光口≥24个，千兆电口≥8，万兆SFP+光口≥4个；扩展插槽≥1个，且支持≥8个10G SFP+光口、≥2个40G QSFP+光口等扩展卡；需提供官网截图证明并加盖厂商公章；</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3.▲支持M-LAG技术，跨设备链路聚合（非堆叠技术实现），要求配对的设备有独立的控制平面，要求提供具有CMA和CNAS认证章的第三方权威机构测试报告；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4.▲支持智能交换机和普通交换机两种工作模式，可以根据不同的组网需要，随时灵活的进行切换；要求提供具有CMA和CNAS认证章的第三方权威机构测试报告；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5.▲为满足网络安全建设需求，交换机需满足《信息安全技术 交换机安全技术要求 GA/T 684-2007》,符合安全交换机标准，提供与之对应的权威机构出具的检测报告</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A869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5CE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A5C8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16500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F81B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1C4C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3C7DB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4E95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27</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E87C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8T企业级硬盘</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36346">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缓存：256MB；</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转速：7200RPM；</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硬盘接口：SATA</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A474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块</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4B03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521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1750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98E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3206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3EC61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AC5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28</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A525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10T企业级硬盘</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F1685">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缓存：256MB；</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转速：7200RPM；</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硬盘接口：SATA</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2536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块</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3647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7E65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2230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603E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7042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44361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F8BA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29</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718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摄像机电源</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C9FC">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12V2A监控电源</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E50C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8DFD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871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F7B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E0D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598B4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14E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30</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F34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摄像机支架</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56984">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国标定制</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E204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0B30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D30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25</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374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D371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23C80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7D29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31</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27BB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球机安装支架</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133B6">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国标定制</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056D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DCFD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A466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58D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778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04C3A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39AC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32</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8D9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室外不锈钢防水箱</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7D452">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300*400*180</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B11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174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614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380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9306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46E7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7E462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8FD7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33</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4B71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定制挑臂支架0.6-1.5米</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45495">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定制长度60-150cm之间，结合现场实际情况定制</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3FC5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根</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0E8B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51A4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185</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462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B5E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40AB9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36F6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34</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C50F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L杆--6m（套）</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D98A1">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高6*横臂8米，立杆Φ220-280-6mm，横臂Φ200-100-5mm，含地笼M24-1270H-8</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4E1E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根</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349B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D737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5300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8D5C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BD4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58D48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FC88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35</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6C5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L杆基础开挖及浇筑</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A1918">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开挖深度800*800*1000mm,混凝土浇筑</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6563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4702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6116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3000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343C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72BA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42176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153A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36</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518F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立杆接地和基础包封系统</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48205">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不小于2.5M接地角铁L40*4；镀锌扁铁－40*4与杆件连接，杆件上接地电阻小于4欧姆。含接地系统预埋、定位、安装、接地桩焊接、现场电阻测试；含杆件螺栓黄油保护、基础混凝土包封和养护工作。</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E49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套</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B2C6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0B5A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2100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BA10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43F6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5DEAD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D99D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37</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EDA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杆件基础开挖及浇筑</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AACF">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土方开挖尺寸为（≥2*2*2.2m），含混凝土浇筑</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9995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项</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2F7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767A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2800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1CC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2A6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27385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011A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38</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FF16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道闸基础开挖及浇筑</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1CBC5">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根据甲方实际设备尺寸基础需大于原设备底座尺寸，长宽各大于15cm，高度大于20cm</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3E6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7CD1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533C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2800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AE94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7F6E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570C9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8C64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39</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7F73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杆件安装费</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85F5">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杆件拆装、吊车安装</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2DA1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项</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1493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3760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2360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8B4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508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08023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1657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40</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F460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3米监控立杆（含基础）</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A1089">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定制，高度3米，横臂长≥30cm，含开挖回填，混凝土浇筑</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A961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根</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08BD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410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1780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D36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C622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42BFF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258A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41</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8AA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增强管（含开挖、回填）</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F9135">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Φ32（含开挖）</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F6AB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米</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BE8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0833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45</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05F8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1FA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4C68D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44E3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42</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875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增强管（含开挖、回填）</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49D54">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Φ25（含开挖）</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9AFA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米</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81DF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054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35</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8C8D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7E1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51B71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548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43</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2890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六类双绞线</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4A2E1">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1.抗拉、抗扭、耐磨、防水、撕裂绳自剥皮线缆设计特性，减少线缆安装过程中的各种潜在风险。 2.通过福禄克测试。 3.CAT6 传输带宽250MHZ，推荐用于千兆传输。 4.导体采用无氧铜，符合国家标准：GB/T3953，传输衰减小、延时低。 5.阻燃性能符合国家标准：GB/T 18380.22。 6.绿色环保，所用材料均符合RoHS。 7.线缆长度305米/箱。</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0C1A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箱</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524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568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850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B56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038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39080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CE0F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44</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BFC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阻燃波纹套管</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5999">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PE聚乙烯，工作温度：30℃~100℃</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FE41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米</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774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EA6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3.3</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2EF6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374B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479C5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990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45</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C458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六类网络跳线</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01DC">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≥1米</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E8E5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根</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4692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CF64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33</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E35F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8130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02BA2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25BF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46</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034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光纤跳线</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530F">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接口根据校方实际情况选择</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F3DF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根</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FD2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62B3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8F5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6089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4B1F4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8B8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47</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9D6F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电力电缆RVV2*1</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33971">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满足国标RVV2*1</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95D9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米</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007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0071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3.8</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ECEF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D34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1135E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D7D2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48</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C9E2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电力电缆RVV2*1.5</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9586B">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满足国标RVV2*1.5</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1056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米</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49B3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041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4.3</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A5A7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6E5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6D0AC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F1F3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49</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661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电力电缆RVV3*2.5</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31F1">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满足国标RVV3*2.5</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7B4B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米</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10F2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0162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23</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45ED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6542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6D026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8B7D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50</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A25B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PDU可分配电源单元大于等于10位</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2CBBA">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≥10位 PDU 带开关</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369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0EF3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D1B4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335</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1B68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279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2248A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3031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51</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34D3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PVC管</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C86DB">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满足国标Φ20</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AB02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米</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D10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42E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2.8</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7702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4A76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4DAC1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7E4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52</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7F1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PVC管</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354E8">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满足国标Φ25</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CEB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米</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10B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3359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3.6</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914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2DE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1910E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4AE1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53</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7CD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人工点工</w:t>
            </w:r>
          </w:p>
        </w:tc>
        <w:tc>
          <w:tcPr>
            <w:tcW w:w="2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C207C">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运营维护期间可能会产生不可预计的情况所产生的人工费用。</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F72C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点</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7F0A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12C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6BE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76D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47FD4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04B1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56</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22AF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人行通道摆闸</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249FA">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驱动电机：直流无刷电机；</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状态指示灯：支持；</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语音提示：支持；</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外壳材料：SUS304；</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读卡距离：0cm～5cm；</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通道宽度：不锈钢：600mm～1500mm;亚克力：600mm～1100mm；</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开关门速度：0.5s；</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红外对射对数：8对；</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摆臂材料：不锈钢;亚克力；</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防暴等级：玻璃面板：IK06,不锈钢：IK08；</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防尘防水等级：IPX4；</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1A0D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D33F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C2F4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22300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8A9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DB2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37ED4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7"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24F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57</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A0AA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▲人脸识别一体机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3D06F">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▲1.设备应采用 7 英寸 LCD 触摸显示屏，屏幕分辨率应为 1024×600；（提供第三方检测机构出具的封面具有CMA标识的检测报告）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▲2.应具有双目摄像头,一路为可见光200万摄像头,另一路为红外200万摄像头；设备应支持通过红外补光灯和摄像头实现人脸识别与比对；（提供第三方检测机构出具的封面具有CMA标识的检测报告）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w:t>
            </w:r>
            <w:r>
              <w:rPr>
                <w:rFonts w:hint="eastAsia" w:cs="宋体"/>
                <w:b w:val="0"/>
                <w:bCs w:val="0"/>
                <w:i w:val="0"/>
                <w:iCs w:val="0"/>
                <w:color w:val="000000"/>
                <w:kern w:val="0"/>
                <w:sz w:val="18"/>
                <w:szCs w:val="18"/>
                <w:u w:val="none"/>
                <w:lang w:val="en-US" w:eastAsia="zh-CN" w:bidi="ar"/>
              </w:rPr>
              <w:t>3</w:t>
            </w:r>
            <w:r>
              <w:rPr>
                <w:rFonts w:hint="eastAsia" w:ascii="宋体" w:hAnsi="宋体" w:eastAsia="宋体" w:cs="宋体"/>
                <w:b w:val="0"/>
                <w:bCs w:val="0"/>
                <w:i w:val="0"/>
                <w:iCs w:val="0"/>
                <w:color w:val="000000"/>
                <w:kern w:val="0"/>
                <w:sz w:val="18"/>
                <w:szCs w:val="18"/>
                <w:u w:val="none"/>
                <w:lang w:val="en-US" w:eastAsia="zh-CN" w:bidi="ar"/>
              </w:rPr>
              <w:t>.人脸识别(人脸特征比对)速度应&lt;70ms（提供第三方检测机构出具的封面具有CMA标识的检测报告）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w:t>
            </w:r>
            <w:r>
              <w:rPr>
                <w:rFonts w:hint="eastAsia" w:cs="宋体"/>
                <w:b w:val="0"/>
                <w:bCs w:val="0"/>
                <w:i w:val="0"/>
                <w:iCs w:val="0"/>
                <w:color w:val="000000"/>
                <w:kern w:val="0"/>
                <w:sz w:val="18"/>
                <w:szCs w:val="18"/>
                <w:u w:val="none"/>
                <w:lang w:val="en-US" w:eastAsia="zh-CN" w:bidi="ar"/>
              </w:rPr>
              <w:t>4</w:t>
            </w:r>
            <w:r>
              <w:rPr>
                <w:rFonts w:hint="eastAsia" w:ascii="宋体" w:hAnsi="宋体" w:eastAsia="宋体" w:cs="宋体"/>
                <w:b w:val="0"/>
                <w:bCs w:val="0"/>
                <w:i w:val="0"/>
                <w:iCs w:val="0"/>
                <w:color w:val="000000"/>
                <w:kern w:val="0"/>
                <w:sz w:val="18"/>
                <w:szCs w:val="18"/>
                <w:u w:val="none"/>
                <w:lang w:val="en-US" w:eastAsia="zh-CN" w:bidi="ar"/>
              </w:rPr>
              <w:t>.设备应支持最多6人同时进行人脸识别（提供第三方检测机构出具的封面具有CMA标识的检测报告）</w:t>
            </w:r>
          </w:p>
          <w:p w14:paraId="6EA18135">
            <w:pPr>
              <w:keepNext w:val="0"/>
              <w:keepLines w:val="0"/>
              <w:pageBreakBefore w:val="0"/>
              <w:widowControl/>
              <w:suppressLineNumbers w:val="0"/>
              <w:kinsoku/>
              <w:wordWrap/>
              <w:topLinePunct w:val="0"/>
              <w:bidi w:val="0"/>
              <w:spacing w:line="240" w:lineRule="auto"/>
              <w:jc w:val="left"/>
              <w:textAlignment w:val="center"/>
              <w:rPr>
                <w:rFonts w:hint="default" w:ascii="宋体" w:hAnsi="宋体" w:eastAsia="宋体" w:cs="宋体"/>
                <w:b w:val="0"/>
                <w:bCs w:val="0"/>
                <w:i w:val="0"/>
                <w:iCs w:val="0"/>
                <w:color w:val="000000"/>
                <w:sz w:val="18"/>
                <w:szCs w:val="18"/>
                <w:u w:val="none"/>
                <w:lang w:val="en-US"/>
              </w:rPr>
            </w:pPr>
            <w:r>
              <w:rPr>
                <w:rFonts w:hint="eastAsia" w:ascii="宋体" w:hAnsi="宋体" w:eastAsia="宋体" w:cs="宋体"/>
                <w:b w:val="0"/>
                <w:bCs w:val="0"/>
                <w:i w:val="0"/>
                <w:iCs w:val="0"/>
                <w:color w:val="000000"/>
                <w:kern w:val="0"/>
                <w:sz w:val="18"/>
                <w:szCs w:val="18"/>
                <w:u w:val="none"/>
                <w:lang w:val="en-US" w:eastAsia="zh-CN" w:bidi="ar"/>
              </w:rPr>
              <w:t>★需无缝对接采购方现有校园安防管理平台中的人员管理系统，设备厂商和供应商提供承诺函，所产生的费用由供应商自行承担</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FBB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88B9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B31E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2675</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AC3B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8657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1BADE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1B1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58</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37B6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人行道闸摆臂</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0CFB0">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根据实际情况定制304不锈钢材质</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A4B4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E500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C4F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550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80AA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AF7A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45DE5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771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59</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E6F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车辆道闸</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1988D">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1.支持杆长：4米；</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2.起杆速度：2s；</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3.电机类型：直流无刷；</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4.防砸功能：支持，线圈防砸，雷达防砸；</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5.遇阻反弹：支持；</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6.断电手摇：支持；</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7.远程遥控：支持遥控器远程开关，最大距离50m（空旷无干扰）；</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8.防护等级：IP54；</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D44C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个</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6D53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450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17500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0D1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0BAF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78782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7"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24E6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60</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4E47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车辆抓拍一体机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18221">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抓拍距离：2.5～6m；</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除雾功能：支持自动除雾；</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镜头类型：变焦；</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镜头焦距：2.7mm～12mm</w:t>
            </w:r>
          </w:p>
          <w:p w14:paraId="64C74173">
            <w:pPr>
              <w:pStyle w:val="2"/>
              <w:rPr>
                <w:rFonts w:hint="eastAsia"/>
              </w:rPr>
            </w:pPr>
            <w:r>
              <w:rPr>
                <w:rFonts w:hint="eastAsia" w:ascii="宋体" w:hAnsi="宋体" w:eastAsia="宋体" w:cs="宋体"/>
                <w:b w:val="0"/>
                <w:bCs w:val="0"/>
                <w:i w:val="0"/>
                <w:iCs w:val="0"/>
                <w:color w:val="000000"/>
                <w:kern w:val="0"/>
                <w:sz w:val="18"/>
                <w:szCs w:val="18"/>
                <w:u w:val="none"/>
                <w:lang w:val="en-US" w:eastAsia="zh-CN" w:bidi="ar"/>
              </w:rPr>
              <w:t>★需无缝对接采购方现有校园安防管理平台中的</w:t>
            </w:r>
            <w:r>
              <w:rPr>
                <w:rFonts w:hint="eastAsia" w:hAnsi="宋体" w:cs="宋体"/>
                <w:b w:val="0"/>
                <w:bCs w:val="0"/>
                <w:i w:val="0"/>
                <w:iCs w:val="0"/>
                <w:color w:val="000000"/>
                <w:kern w:val="0"/>
                <w:sz w:val="18"/>
                <w:szCs w:val="18"/>
                <w:u w:val="none"/>
                <w:lang w:val="en-US" w:eastAsia="zh-CN" w:bidi="ar"/>
              </w:rPr>
              <w:t>停车场</w:t>
            </w:r>
            <w:r>
              <w:rPr>
                <w:rFonts w:hint="eastAsia" w:ascii="宋体" w:hAnsi="宋体" w:eastAsia="宋体" w:cs="宋体"/>
                <w:b w:val="0"/>
                <w:bCs w:val="0"/>
                <w:i w:val="0"/>
                <w:iCs w:val="0"/>
                <w:color w:val="000000"/>
                <w:kern w:val="0"/>
                <w:sz w:val="18"/>
                <w:szCs w:val="18"/>
                <w:u w:val="none"/>
                <w:lang w:val="en-US" w:eastAsia="zh-CN" w:bidi="ar"/>
              </w:rPr>
              <w:t>管理系统，设备厂商和供应商提供承诺函，所产生的费用由供应商自行承担</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C72B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3526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F30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16300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49A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8794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288AB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D4F7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61</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FA2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车闸横臂</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039F2">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1.外壳材料：金属(铝)；</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2.产品尺寸：100.0mm×45.0mm×4000.0mm（高×宽×长）</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D8D5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BAD3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C93C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74A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32BD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0C82C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0E9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62</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98D4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测速大屏</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7FB38">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1.产品尺寸：1500.0mm×1050.0mm×80.0mm；</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2.外壳材质：钣金；</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3.限速标志：反光膜贴纸，白底，红圈，黑字；</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4.驱动方式：1/4扫描，恒流驱动；</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5.亮度：最高亮度不低于6000cd/m2；</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6.工作温度：-30℃~60℃；</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7.工作湿度：20%RH~80%RH；</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8.防护等级：IP54</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E7FC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块</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D319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F4A9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11360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1E8F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CA65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60E73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0B01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63</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56D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单路高清解码器</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9AE4F">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1.主处理器：工业级微控制器；操作系统：嵌入式Linux操作系统；</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2.具有≥2个USB2.0接口、≥1个RS232接口、≥1个RS485接口；具有≥1路视频输出接口、≥1路音频输出接口，≥9个SATA接口，≥4个报警输入接口、≥4个报警输出接口；</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3.HDMI输出接口支持3840×2160， 1920×1080， 1280×1024， 1280×720， 1024×768五种显示分辨率；</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4.支持远程录像文件的解码输出；支持解码轮巡；支持smart IPC；支持底色选择；</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2B15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286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FDC2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6400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CDF4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9121">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688DD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7"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2EA22">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64</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F5F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▲32路硬盘录像机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3D57A">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▲1.可检测视频中异常音频，出现干扰信号和声音变化幅度过大时，进行报警提示（提供第三方检测机构出具的封面具有CMA标识的检测报告）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w:t>
            </w:r>
            <w:r>
              <w:rPr>
                <w:rFonts w:hint="eastAsia" w:cs="宋体"/>
                <w:b w:val="0"/>
                <w:bCs w:val="0"/>
                <w:i w:val="0"/>
                <w:iCs w:val="0"/>
                <w:color w:val="000000"/>
                <w:kern w:val="0"/>
                <w:sz w:val="18"/>
                <w:szCs w:val="18"/>
                <w:u w:val="none"/>
                <w:lang w:val="en-US" w:eastAsia="zh-CN" w:bidi="ar"/>
              </w:rPr>
              <w:t>2</w:t>
            </w:r>
            <w:r>
              <w:rPr>
                <w:rFonts w:hint="eastAsia" w:ascii="宋体" w:hAnsi="宋体" w:eastAsia="宋体" w:cs="宋体"/>
                <w:b w:val="0"/>
                <w:bCs w:val="0"/>
                <w:i w:val="0"/>
                <w:iCs w:val="0"/>
                <w:color w:val="000000"/>
                <w:kern w:val="0"/>
                <w:sz w:val="18"/>
                <w:szCs w:val="18"/>
                <w:u w:val="none"/>
                <w:lang w:val="en-US" w:eastAsia="zh-CN" w:bidi="ar"/>
              </w:rPr>
              <w:t>.支持摄像头属性调节页面直接展示视频效果，调节效果随参数调整实时展现（提供第三方检测机构出具的封面具有CMA标识的检测报告）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w:t>
            </w:r>
            <w:r>
              <w:rPr>
                <w:rFonts w:hint="eastAsia" w:cs="宋体"/>
                <w:b w:val="0"/>
                <w:bCs w:val="0"/>
                <w:i w:val="0"/>
                <w:iCs w:val="0"/>
                <w:color w:val="000000"/>
                <w:kern w:val="0"/>
                <w:sz w:val="18"/>
                <w:szCs w:val="18"/>
                <w:u w:val="none"/>
                <w:lang w:val="en-US" w:eastAsia="zh-CN" w:bidi="ar"/>
              </w:rPr>
              <w:t>3</w:t>
            </w:r>
            <w:r>
              <w:rPr>
                <w:rFonts w:hint="eastAsia" w:ascii="宋体" w:hAnsi="宋体" w:eastAsia="宋体" w:cs="宋体"/>
                <w:b w:val="0"/>
                <w:bCs w:val="0"/>
                <w:i w:val="0"/>
                <w:iCs w:val="0"/>
                <w:color w:val="000000"/>
                <w:kern w:val="0"/>
                <w:sz w:val="18"/>
                <w:szCs w:val="18"/>
                <w:u w:val="none"/>
                <w:lang w:val="en-US" w:eastAsia="zh-CN" w:bidi="ar"/>
              </w:rPr>
              <w:t>.搜索列表中的设备，不需要添加就可以通过点击预览按钮查看前端的视频画面（提供第三方检测机构出具的封面具有CMA标识的检测报告）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w:t>
            </w:r>
            <w:r>
              <w:rPr>
                <w:rFonts w:hint="eastAsia" w:cs="宋体"/>
                <w:b w:val="0"/>
                <w:bCs w:val="0"/>
                <w:i w:val="0"/>
                <w:iCs w:val="0"/>
                <w:color w:val="000000"/>
                <w:kern w:val="0"/>
                <w:sz w:val="18"/>
                <w:szCs w:val="18"/>
                <w:u w:val="none"/>
                <w:lang w:val="en-US" w:eastAsia="zh-CN" w:bidi="ar"/>
              </w:rPr>
              <w:t>4</w:t>
            </w:r>
            <w:r>
              <w:rPr>
                <w:rFonts w:hint="eastAsia" w:ascii="宋体" w:hAnsi="宋体" w:eastAsia="宋体" w:cs="宋体"/>
                <w:b w:val="0"/>
                <w:bCs w:val="0"/>
                <w:i w:val="0"/>
                <w:iCs w:val="0"/>
                <w:color w:val="000000"/>
                <w:kern w:val="0"/>
                <w:sz w:val="18"/>
                <w:szCs w:val="18"/>
                <w:u w:val="none"/>
                <w:lang w:val="en-US" w:eastAsia="zh-CN" w:bidi="ar"/>
              </w:rPr>
              <w:t>.支持CGI命令配置设备配置参数（提供第三方检测机构出具的封面具有CMA标识的检测报告）</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D9D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273A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1401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5200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235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56A5">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79CF7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82D6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65</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BD6E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▲64路硬盘录像机</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AEEF2">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▲1.可检测视频中异常音频，出现干扰信号和声音变化幅度过大时，进行报警提示（提供第三方检测机构出具的封面具有CMA标识的检测报告）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w:t>
            </w:r>
            <w:r>
              <w:rPr>
                <w:rFonts w:hint="eastAsia" w:cs="宋体"/>
                <w:b w:val="0"/>
                <w:bCs w:val="0"/>
                <w:i w:val="0"/>
                <w:iCs w:val="0"/>
                <w:color w:val="000000"/>
                <w:kern w:val="0"/>
                <w:sz w:val="18"/>
                <w:szCs w:val="18"/>
                <w:u w:val="none"/>
                <w:lang w:val="en-US" w:eastAsia="zh-CN" w:bidi="ar"/>
              </w:rPr>
              <w:t>2</w:t>
            </w:r>
            <w:r>
              <w:rPr>
                <w:rFonts w:hint="eastAsia" w:ascii="宋体" w:hAnsi="宋体" w:eastAsia="宋体" w:cs="宋体"/>
                <w:b w:val="0"/>
                <w:bCs w:val="0"/>
                <w:i w:val="0"/>
                <w:iCs w:val="0"/>
                <w:color w:val="000000"/>
                <w:kern w:val="0"/>
                <w:sz w:val="18"/>
                <w:szCs w:val="18"/>
                <w:u w:val="none"/>
                <w:lang w:val="en-US" w:eastAsia="zh-CN" w:bidi="ar"/>
              </w:rPr>
              <w:t>.支持接入带有火情检测、冷点检测、热点检测、温度/温差检测、打电话检测、吸烟检测、烟雾检测报警功能的网络摄像机，当触发报警时，可联动录像、抓拍并保存图片、弹出报警画面、声音警告、上传中心、发送邮件、触发报警输出，并按通道、时间、类型检索报警图片，录像搜索结果支持图片和列表2种展现形式（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w:t>
            </w:r>
            <w:r>
              <w:rPr>
                <w:rFonts w:hint="eastAsia" w:cs="宋体"/>
                <w:b w:val="0"/>
                <w:bCs w:val="0"/>
                <w:i w:val="0"/>
                <w:iCs w:val="0"/>
                <w:color w:val="000000"/>
                <w:kern w:val="0"/>
                <w:sz w:val="18"/>
                <w:szCs w:val="18"/>
                <w:u w:val="none"/>
                <w:lang w:val="en-US" w:eastAsia="zh-CN" w:bidi="ar"/>
              </w:rPr>
              <w:t>3</w:t>
            </w:r>
            <w:r>
              <w:rPr>
                <w:rFonts w:hint="eastAsia" w:ascii="宋体" w:hAnsi="宋体" w:eastAsia="宋体" w:cs="宋体"/>
                <w:b w:val="0"/>
                <w:bCs w:val="0"/>
                <w:i w:val="0"/>
                <w:iCs w:val="0"/>
                <w:color w:val="000000"/>
                <w:kern w:val="0"/>
                <w:sz w:val="18"/>
                <w:szCs w:val="18"/>
                <w:u w:val="none"/>
                <w:lang w:val="en-US" w:eastAsia="zh-CN" w:bidi="ar"/>
              </w:rPr>
              <w:t>.搜索列表中的设备，不需要添加就可以通过点击预览按钮查看前端的视频画面（提供第三方检测机构出具的封面具有CMA标识的检测报告）</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w:t>
            </w:r>
            <w:r>
              <w:rPr>
                <w:rFonts w:hint="eastAsia" w:cs="宋体"/>
                <w:b w:val="0"/>
                <w:bCs w:val="0"/>
                <w:i w:val="0"/>
                <w:iCs w:val="0"/>
                <w:color w:val="000000"/>
                <w:kern w:val="0"/>
                <w:sz w:val="18"/>
                <w:szCs w:val="18"/>
                <w:u w:val="none"/>
                <w:lang w:val="en-US" w:eastAsia="zh-CN" w:bidi="ar"/>
              </w:rPr>
              <w:t>4</w:t>
            </w:r>
            <w:r>
              <w:rPr>
                <w:rFonts w:hint="eastAsia" w:ascii="宋体" w:hAnsi="宋体" w:eastAsia="宋体" w:cs="宋体"/>
                <w:b w:val="0"/>
                <w:bCs w:val="0"/>
                <w:i w:val="0"/>
                <w:iCs w:val="0"/>
                <w:color w:val="000000"/>
                <w:kern w:val="0"/>
                <w:sz w:val="18"/>
                <w:szCs w:val="18"/>
                <w:u w:val="none"/>
                <w:lang w:val="en-US" w:eastAsia="zh-CN" w:bidi="ar"/>
              </w:rPr>
              <w:t>.支持CGI命令配置设备配置参数（提供第三方检测机构出具的封面具有CMA标识的检测报告）</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04A9B">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C04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EA21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6400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E31F">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A46E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7346A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5E9C0">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lang w:val="zh-CN" w:eastAsia="zh-CN" w:bidi="zh-CN"/>
              </w:rPr>
            </w:pPr>
            <w:r>
              <w:rPr>
                <w:rFonts w:hint="eastAsia" w:ascii="宋体" w:hAnsi="宋体" w:eastAsia="宋体" w:cs="宋体"/>
                <w:b w:val="0"/>
                <w:bCs w:val="0"/>
                <w:i w:val="0"/>
                <w:iCs w:val="0"/>
                <w:color w:val="000000"/>
                <w:kern w:val="0"/>
                <w:sz w:val="18"/>
                <w:szCs w:val="18"/>
                <w:u w:val="none"/>
                <w:lang w:val="en-US" w:eastAsia="zh-CN" w:bidi="ar"/>
              </w:rPr>
              <w:t>66</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03D3">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55寸显示器</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BBF2A">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1.遥控、按键双重控制</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2.自动消除残影功能</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C5189">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台</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08078">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EA40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6400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A5BF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43674">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r w14:paraId="0C9C9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7" w:hRule="atLeast"/>
          <w:jc w:val="center"/>
        </w:trPr>
        <w:tc>
          <w:tcPr>
            <w:tcW w:w="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70974">
            <w:pPr>
              <w:keepNext w:val="0"/>
              <w:keepLines w:val="0"/>
              <w:pageBreakBefore w:val="0"/>
              <w:widowControl/>
              <w:suppressLineNumbers w:val="0"/>
              <w:kinsoku/>
              <w:wordWrap/>
              <w:topLinePunct w:val="0"/>
              <w:bidi w:val="0"/>
              <w:spacing w:line="240" w:lineRule="auto"/>
              <w:jc w:val="center"/>
              <w:textAlignment w:val="center"/>
              <w:rPr>
                <w:rFonts w:hint="default" w:ascii="宋体" w:hAnsi="宋体" w:eastAsia="宋体" w:cs="宋体"/>
                <w:b w:val="0"/>
                <w:bCs w:val="0"/>
                <w:i w:val="0"/>
                <w:iCs w:val="0"/>
                <w:color w:val="000000"/>
                <w:sz w:val="18"/>
                <w:szCs w:val="18"/>
                <w:u w:val="none"/>
                <w:lang w:val="en-US" w:eastAsia="zh-CN"/>
              </w:rPr>
            </w:pPr>
            <w:r>
              <w:rPr>
                <w:rFonts w:hint="eastAsia" w:cs="宋体"/>
                <w:b w:val="0"/>
                <w:bCs w:val="0"/>
                <w:i w:val="0"/>
                <w:iCs w:val="0"/>
                <w:color w:val="000000"/>
                <w:sz w:val="18"/>
                <w:szCs w:val="18"/>
                <w:u w:val="none"/>
                <w:lang w:val="en-US" w:eastAsia="zh-CN"/>
              </w:rPr>
              <w:t>67</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CA2D6">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46寸拼接屏</w:t>
            </w:r>
          </w:p>
        </w:tc>
        <w:tc>
          <w:tcPr>
            <w:tcW w:w="2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69D1F">
            <w:pPr>
              <w:keepNext w:val="0"/>
              <w:keepLines w:val="0"/>
              <w:pageBreakBefore w:val="0"/>
              <w:widowControl/>
              <w:suppressLineNumbers w:val="0"/>
              <w:kinsoku/>
              <w:wordWrap/>
              <w:topLinePunct w:val="0"/>
              <w:bidi w:val="0"/>
              <w:spacing w:line="240" w:lineRule="auto"/>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1.产品尺寸：46寸</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2.双边拼缝：3.5mm</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3.分辨率：1920*1080</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4.亮度：500cd/m2</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5.对比度：1200:1</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6.色彩范围：8bit</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7.刷新率：60Hz</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cs="宋体"/>
                <w:b w:val="0"/>
                <w:bCs w:val="0"/>
                <w:i w:val="0"/>
                <w:iCs w:val="0"/>
                <w:color w:val="000000"/>
                <w:kern w:val="0"/>
                <w:sz w:val="18"/>
                <w:szCs w:val="18"/>
                <w:u w:val="none"/>
                <w:lang w:val="en-US" w:eastAsia="zh-CN" w:bidi="ar"/>
              </w:rPr>
              <w:t>8</w:t>
            </w:r>
            <w:r>
              <w:rPr>
                <w:rFonts w:hint="eastAsia" w:ascii="宋体" w:hAnsi="宋体" w:eastAsia="宋体" w:cs="宋体"/>
                <w:b w:val="0"/>
                <w:bCs w:val="0"/>
                <w:i w:val="0"/>
                <w:iCs w:val="0"/>
                <w:color w:val="000000"/>
                <w:kern w:val="0"/>
                <w:sz w:val="18"/>
                <w:szCs w:val="18"/>
                <w:u w:val="none"/>
                <w:lang w:val="en-US" w:eastAsia="zh-CN" w:bidi="ar"/>
              </w:rPr>
              <w:t>.输入接口：VGA(D-Sub)*1、DVI-D*1、HDMI*1、CVBS*1、RS232(RJ45)*1、USB（升级和多媒体）*1</w:t>
            </w:r>
          </w:p>
        </w:tc>
        <w:tc>
          <w:tcPr>
            <w:tcW w:w="2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2528A">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块</w:t>
            </w:r>
          </w:p>
        </w:tc>
        <w:tc>
          <w:tcPr>
            <w:tcW w:w="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8C62C">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A06D7">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8850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F175D">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15B1E">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r>
    </w:tbl>
    <w:p w14:paraId="39CBF5D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注：清单内打“</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”的设备需提供</w:t>
      </w:r>
      <w:r>
        <w:rPr>
          <w:rFonts w:hint="eastAsia" w:ascii="宋体" w:hAnsi="宋体" w:eastAsia="宋体" w:cs="宋体"/>
          <w:sz w:val="24"/>
          <w:szCs w:val="24"/>
          <w:lang w:val="en-US" w:eastAsia="zh-CN"/>
        </w:rPr>
        <w:t>第三方检测机构出具的封面具有CMA标识的检测报告加盖厂商公章，并由设备厂商提供三年质保承诺函加盖公章，供应商需提供承诺函确认以上设备能无缝对接学校现有的校园安防管理平台。</w:t>
      </w:r>
    </w:p>
    <w:p w14:paraId="03BD407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w:t>
      </w:r>
      <w:r>
        <w:rPr>
          <w:rFonts w:hint="eastAsia" w:cs="宋体"/>
          <w:sz w:val="24"/>
          <w:szCs w:val="24"/>
          <w:lang w:eastAsia="zh-CN"/>
        </w:rPr>
        <w:t>需</w:t>
      </w:r>
      <w:r>
        <w:rPr>
          <w:rFonts w:hint="eastAsia" w:ascii="宋体" w:hAnsi="宋体" w:eastAsia="宋体" w:cs="宋体"/>
          <w:sz w:val="24"/>
          <w:szCs w:val="24"/>
        </w:rPr>
        <w:t>填写“</w:t>
      </w:r>
      <w:r>
        <w:rPr>
          <w:rFonts w:hint="eastAsia" w:ascii="宋体" w:hAnsi="宋体" w:eastAsia="宋体" w:cs="宋体"/>
          <w:sz w:val="24"/>
          <w:szCs w:val="24"/>
          <w:lang w:eastAsia="zh-CN"/>
        </w:rPr>
        <w:t>常州工业职业技术学院校园安防系统设备更换（新增）申请表</w:t>
      </w:r>
      <w:r>
        <w:rPr>
          <w:rFonts w:hint="eastAsia" w:ascii="宋体" w:hAnsi="宋体" w:eastAsia="宋体" w:cs="宋体"/>
          <w:sz w:val="24"/>
          <w:szCs w:val="24"/>
        </w:rPr>
        <w:t>”，经校方审批通过后，进行采购、安装和调试，设备费用校方按实结算给供应商，其它费用由供应商自行承担。如遇维修产品停产，替换产品不得低于“</w:t>
      </w:r>
      <w:r>
        <w:rPr>
          <w:rFonts w:hint="eastAsia" w:ascii="宋体" w:hAnsi="宋体" w:eastAsia="宋体" w:cs="宋体"/>
          <w:sz w:val="24"/>
          <w:szCs w:val="24"/>
          <w:u w:val="single"/>
          <w:lang w:eastAsia="zh-CN"/>
        </w:rPr>
        <w:t>安防系统运维</w:t>
      </w:r>
      <w:r>
        <w:rPr>
          <w:rFonts w:hint="eastAsia" w:ascii="宋体" w:hAnsi="宋体" w:eastAsia="宋体" w:cs="宋体"/>
          <w:sz w:val="24"/>
          <w:szCs w:val="24"/>
          <w:u w:val="single"/>
        </w:rPr>
        <w:t>常用设备报价清单”</w:t>
      </w:r>
      <w:r>
        <w:rPr>
          <w:rFonts w:hint="eastAsia" w:ascii="宋体" w:hAnsi="宋体" w:eastAsia="宋体" w:cs="宋体"/>
          <w:sz w:val="24"/>
          <w:szCs w:val="24"/>
        </w:rPr>
        <w:t>中</w:t>
      </w:r>
      <w:r>
        <w:rPr>
          <w:rFonts w:hint="eastAsia" w:ascii="宋体" w:hAnsi="宋体" w:eastAsia="宋体" w:cs="宋体"/>
          <w:sz w:val="24"/>
          <w:szCs w:val="24"/>
          <w:lang w:eastAsia="zh-CN"/>
        </w:rPr>
        <w:t>的</w:t>
      </w:r>
      <w:r>
        <w:rPr>
          <w:rFonts w:hint="eastAsia" w:ascii="宋体" w:hAnsi="宋体" w:eastAsia="宋体" w:cs="宋体"/>
          <w:sz w:val="24"/>
          <w:szCs w:val="24"/>
        </w:rPr>
        <w:t>设备技术参数要求。设备代购费按实际发生的数量计算总额，</w:t>
      </w:r>
      <w:r>
        <w:rPr>
          <w:rFonts w:hint="eastAsia" w:cs="宋体"/>
          <w:sz w:val="24"/>
          <w:szCs w:val="24"/>
          <w:lang w:eastAsia="zh-CN"/>
        </w:rPr>
        <w:t>采购单位费用的结算根据采购单位日常工作安排实际情况结算</w:t>
      </w:r>
      <w:r>
        <w:rPr>
          <w:rFonts w:hint="eastAsia" w:ascii="宋体" w:hAnsi="宋体" w:eastAsia="宋体" w:cs="宋体"/>
          <w:sz w:val="24"/>
          <w:szCs w:val="24"/>
        </w:rPr>
        <w:t>。</w:t>
      </w:r>
    </w:p>
    <w:p w14:paraId="6C205C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常州工业职业技术学院校园安防系统设备更换（新增）申请表</w:t>
      </w:r>
    </w:p>
    <w:tbl>
      <w:tblPr>
        <w:tblStyle w:val="13"/>
        <w:tblW w:w="4999" w:type="pct"/>
        <w:tblInd w:w="0" w:type="dxa"/>
        <w:tblLayout w:type="autofit"/>
        <w:tblCellMar>
          <w:top w:w="0" w:type="dxa"/>
          <w:left w:w="108" w:type="dxa"/>
          <w:bottom w:w="0" w:type="dxa"/>
          <w:right w:w="108" w:type="dxa"/>
        </w:tblCellMar>
      </w:tblPr>
      <w:tblGrid>
        <w:gridCol w:w="2079"/>
        <w:gridCol w:w="6435"/>
      </w:tblGrid>
      <w:tr w14:paraId="52A5F22B">
        <w:tblPrEx>
          <w:tblCellMar>
            <w:top w:w="0" w:type="dxa"/>
            <w:left w:w="108" w:type="dxa"/>
            <w:bottom w:w="0" w:type="dxa"/>
            <w:right w:w="108" w:type="dxa"/>
          </w:tblCellMar>
        </w:tblPrEx>
        <w:trPr>
          <w:trHeight w:val="1121" w:hRule="atLeast"/>
        </w:trPr>
        <w:tc>
          <w:tcPr>
            <w:tcW w:w="1221" w:type="pct"/>
            <w:tcBorders>
              <w:top w:val="single" w:color="auto" w:sz="4" w:space="0"/>
              <w:left w:val="single" w:color="auto" w:sz="4" w:space="0"/>
              <w:bottom w:val="single" w:color="auto" w:sz="4" w:space="0"/>
              <w:right w:val="single" w:color="auto" w:sz="4" w:space="0"/>
            </w:tcBorders>
            <w:noWrap w:val="0"/>
            <w:vAlign w:val="center"/>
          </w:tcPr>
          <w:p w14:paraId="40294B75">
            <w:pPr>
              <w:pageBreakBefore w:val="0"/>
              <w:widowControl/>
              <w:kinsoku/>
              <w:wordWrap/>
              <w:topLinePunct w:val="0"/>
              <w:bidi w:val="0"/>
              <w:spacing w:line="240" w:lineRule="auto"/>
              <w:jc w:val="center"/>
              <w:rPr>
                <w:rFonts w:ascii="宋体" w:hAnsi="宋体" w:cs="宋体"/>
                <w:b/>
                <w:bCs/>
                <w:kern w:val="0"/>
                <w:sz w:val="24"/>
              </w:rPr>
            </w:pPr>
            <w:r>
              <w:rPr>
                <w:rFonts w:hint="eastAsia" w:ascii="宋体" w:hAnsi="宋体" w:cs="宋体"/>
                <w:b/>
                <w:bCs/>
                <w:kern w:val="0"/>
                <w:sz w:val="28"/>
              </w:rPr>
              <w:t>申请时间</w:t>
            </w:r>
          </w:p>
        </w:tc>
        <w:tc>
          <w:tcPr>
            <w:tcW w:w="3778" w:type="pct"/>
            <w:tcBorders>
              <w:top w:val="single" w:color="auto" w:sz="4" w:space="0"/>
              <w:left w:val="nil"/>
              <w:bottom w:val="single" w:color="auto" w:sz="4" w:space="0"/>
              <w:right w:val="single" w:color="auto" w:sz="4" w:space="0"/>
            </w:tcBorders>
            <w:noWrap w:val="0"/>
            <w:vAlign w:val="center"/>
          </w:tcPr>
          <w:p w14:paraId="3BEB2611">
            <w:pPr>
              <w:pageBreakBefore w:val="0"/>
              <w:widowControl/>
              <w:kinsoku/>
              <w:wordWrap/>
              <w:topLinePunct w:val="0"/>
              <w:bidi w:val="0"/>
              <w:spacing w:line="240" w:lineRule="auto"/>
              <w:jc w:val="center"/>
              <w:rPr>
                <w:rFonts w:ascii="宋体" w:hAnsi="宋体" w:cs="宋体"/>
                <w:kern w:val="0"/>
                <w:sz w:val="24"/>
              </w:rPr>
            </w:pPr>
            <w:r>
              <w:rPr>
                <w:rFonts w:hint="eastAsia" w:ascii="宋体" w:hAnsi="宋体" w:cs="宋体"/>
                <w:kern w:val="0"/>
                <w:sz w:val="24"/>
              </w:rPr>
              <w:t>　</w:t>
            </w:r>
          </w:p>
        </w:tc>
      </w:tr>
      <w:tr w14:paraId="44600F42">
        <w:tblPrEx>
          <w:tblCellMar>
            <w:top w:w="0" w:type="dxa"/>
            <w:left w:w="108" w:type="dxa"/>
            <w:bottom w:w="0" w:type="dxa"/>
            <w:right w:w="108" w:type="dxa"/>
          </w:tblCellMar>
        </w:tblPrEx>
        <w:trPr>
          <w:trHeight w:val="312" w:hRule="atLeast"/>
        </w:trPr>
        <w:tc>
          <w:tcPr>
            <w:tcW w:w="1221" w:type="pct"/>
            <w:vMerge w:val="restart"/>
            <w:tcBorders>
              <w:top w:val="nil"/>
              <w:left w:val="single" w:color="auto" w:sz="4" w:space="0"/>
              <w:bottom w:val="single" w:color="auto" w:sz="4" w:space="0"/>
              <w:right w:val="single" w:color="auto" w:sz="4" w:space="0"/>
            </w:tcBorders>
            <w:noWrap w:val="0"/>
            <w:vAlign w:val="center"/>
          </w:tcPr>
          <w:p w14:paraId="6FA78850">
            <w:pPr>
              <w:pageBreakBefore w:val="0"/>
              <w:widowControl/>
              <w:kinsoku/>
              <w:wordWrap/>
              <w:topLinePunct w:val="0"/>
              <w:bidi w:val="0"/>
              <w:spacing w:line="240" w:lineRule="auto"/>
              <w:jc w:val="center"/>
              <w:rPr>
                <w:rFonts w:hint="eastAsia" w:ascii="宋体" w:hAnsi="宋体" w:cs="宋体"/>
                <w:b/>
                <w:bCs/>
                <w:kern w:val="0"/>
                <w:sz w:val="24"/>
              </w:rPr>
            </w:pPr>
            <w:r>
              <w:rPr>
                <w:rFonts w:hint="eastAsia" w:ascii="宋体" w:hAnsi="宋体" w:cs="宋体"/>
                <w:b/>
                <w:bCs/>
                <w:kern w:val="0"/>
                <w:sz w:val="24"/>
              </w:rPr>
              <w:t>设备更换（新增）</w:t>
            </w:r>
          </w:p>
          <w:p w14:paraId="109E5232">
            <w:pPr>
              <w:pageBreakBefore w:val="0"/>
              <w:widowControl/>
              <w:kinsoku/>
              <w:wordWrap/>
              <w:topLinePunct w:val="0"/>
              <w:bidi w:val="0"/>
              <w:spacing w:line="240" w:lineRule="auto"/>
              <w:jc w:val="center"/>
              <w:rPr>
                <w:rFonts w:ascii="宋体" w:hAnsi="宋体" w:cs="宋体"/>
                <w:b/>
                <w:bCs/>
                <w:kern w:val="0"/>
                <w:sz w:val="24"/>
              </w:rPr>
            </w:pPr>
            <w:r>
              <w:rPr>
                <w:rFonts w:hint="eastAsia" w:ascii="宋体" w:hAnsi="宋体" w:cs="宋体"/>
                <w:b/>
                <w:bCs/>
                <w:kern w:val="0"/>
                <w:sz w:val="24"/>
              </w:rPr>
              <w:t>原因</w:t>
            </w:r>
          </w:p>
        </w:tc>
        <w:tc>
          <w:tcPr>
            <w:tcW w:w="3778" w:type="pct"/>
            <w:vMerge w:val="restart"/>
            <w:tcBorders>
              <w:top w:val="single" w:color="auto" w:sz="4" w:space="0"/>
              <w:left w:val="single" w:color="auto" w:sz="4" w:space="0"/>
              <w:bottom w:val="single" w:color="auto" w:sz="4" w:space="0"/>
              <w:right w:val="single" w:color="auto" w:sz="4" w:space="0"/>
            </w:tcBorders>
            <w:noWrap w:val="0"/>
            <w:vAlign w:val="center"/>
          </w:tcPr>
          <w:p w14:paraId="085A2E01">
            <w:pPr>
              <w:pageBreakBefore w:val="0"/>
              <w:widowControl/>
              <w:kinsoku/>
              <w:wordWrap/>
              <w:topLinePunct w:val="0"/>
              <w:bidi w:val="0"/>
              <w:spacing w:line="240" w:lineRule="auto"/>
              <w:jc w:val="center"/>
              <w:rPr>
                <w:rFonts w:ascii="宋体" w:hAnsi="宋体" w:cs="宋体"/>
                <w:kern w:val="0"/>
                <w:sz w:val="24"/>
              </w:rPr>
            </w:pPr>
            <w:r>
              <w:rPr>
                <w:rFonts w:hint="eastAsia" w:ascii="宋体" w:hAnsi="宋体" w:cs="宋体"/>
                <w:kern w:val="0"/>
                <w:sz w:val="24"/>
              </w:rPr>
              <w:t>　</w:t>
            </w:r>
          </w:p>
        </w:tc>
      </w:tr>
      <w:tr w14:paraId="6DAA91F6">
        <w:tblPrEx>
          <w:tblCellMar>
            <w:top w:w="0" w:type="dxa"/>
            <w:left w:w="108" w:type="dxa"/>
            <w:bottom w:w="0" w:type="dxa"/>
            <w:right w:w="108" w:type="dxa"/>
          </w:tblCellMar>
        </w:tblPrEx>
        <w:trPr>
          <w:trHeight w:val="312" w:hRule="atLeast"/>
        </w:trPr>
        <w:tc>
          <w:tcPr>
            <w:tcW w:w="1221" w:type="pct"/>
            <w:vMerge w:val="continue"/>
            <w:tcBorders>
              <w:top w:val="nil"/>
              <w:left w:val="single" w:color="auto" w:sz="4" w:space="0"/>
              <w:bottom w:val="single" w:color="auto" w:sz="4" w:space="0"/>
              <w:right w:val="single" w:color="auto" w:sz="4" w:space="0"/>
            </w:tcBorders>
            <w:noWrap w:val="0"/>
            <w:vAlign w:val="center"/>
          </w:tcPr>
          <w:p w14:paraId="46E352DE">
            <w:pPr>
              <w:pageBreakBefore w:val="0"/>
              <w:widowControl/>
              <w:kinsoku/>
              <w:wordWrap/>
              <w:topLinePunct w:val="0"/>
              <w:bidi w:val="0"/>
              <w:spacing w:line="240" w:lineRule="auto"/>
              <w:jc w:val="left"/>
              <w:rPr>
                <w:rFonts w:ascii="宋体" w:hAnsi="宋体" w:cs="宋体"/>
                <w:b/>
                <w:bCs/>
                <w:kern w:val="0"/>
                <w:sz w:val="24"/>
              </w:rPr>
            </w:pPr>
          </w:p>
        </w:tc>
        <w:tc>
          <w:tcPr>
            <w:tcW w:w="3778" w:type="pct"/>
            <w:vMerge w:val="continue"/>
            <w:tcBorders>
              <w:top w:val="single" w:color="auto" w:sz="4" w:space="0"/>
              <w:left w:val="single" w:color="auto" w:sz="4" w:space="0"/>
              <w:bottom w:val="single" w:color="auto" w:sz="4" w:space="0"/>
              <w:right w:val="single" w:color="auto" w:sz="4" w:space="0"/>
            </w:tcBorders>
            <w:noWrap w:val="0"/>
            <w:vAlign w:val="center"/>
          </w:tcPr>
          <w:p w14:paraId="1F6E2E61">
            <w:pPr>
              <w:pageBreakBefore w:val="0"/>
              <w:widowControl/>
              <w:kinsoku/>
              <w:wordWrap/>
              <w:topLinePunct w:val="0"/>
              <w:bidi w:val="0"/>
              <w:spacing w:line="240" w:lineRule="auto"/>
              <w:jc w:val="left"/>
              <w:rPr>
                <w:rFonts w:ascii="宋体" w:hAnsi="宋体" w:cs="宋体"/>
                <w:kern w:val="0"/>
                <w:sz w:val="24"/>
              </w:rPr>
            </w:pPr>
          </w:p>
        </w:tc>
      </w:tr>
      <w:tr w14:paraId="64A975AE">
        <w:tblPrEx>
          <w:tblCellMar>
            <w:top w:w="0" w:type="dxa"/>
            <w:left w:w="108" w:type="dxa"/>
            <w:bottom w:w="0" w:type="dxa"/>
            <w:right w:w="108" w:type="dxa"/>
          </w:tblCellMar>
        </w:tblPrEx>
        <w:trPr>
          <w:trHeight w:val="312" w:hRule="atLeast"/>
        </w:trPr>
        <w:tc>
          <w:tcPr>
            <w:tcW w:w="1221" w:type="pct"/>
            <w:vMerge w:val="continue"/>
            <w:tcBorders>
              <w:top w:val="nil"/>
              <w:left w:val="single" w:color="auto" w:sz="4" w:space="0"/>
              <w:bottom w:val="single" w:color="auto" w:sz="4" w:space="0"/>
              <w:right w:val="single" w:color="auto" w:sz="4" w:space="0"/>
            </w:tcBorders>
            <w:noWrap w:val="0"/>
            <w:vAlign w:val="center"/>
          </w:tcPr>
          <w:p w14:paraId="1CF46018">
            <w:pPr>
              <w:pageBreakBefore w:val="0"/>
              <w:widowControl/>
              <w:kinsoku/>
              <w:wordWrap/>
              <w:topLinePunct w:val="0"/>
              <w:bidi w:val="0"/>
              <w:spacing w:line="240" w:lineRule="auto"/>
              <w:jc w:val="left"/>
              <w:rPr>
                <w:rFonts w:ascii="宋体" w:hAnsi="宋体" w:cs="宋体"/>
                <w:b/>
                <w:bCs/>
                <w:kern w:val="0"/>
                <w:sz w:val="24"/>
              </w:rPr>
            </w:pPr>
          </w:p>
        </w:tc>
        <w:tc>
          <w:tcPr>
            <w:tcW w:w="3778" w:type="pct"/>
            <w:vMerge w:val="continue"/>
            <w:tcBorders>
              <w:top w:val="single" w:color="auto" w:sz="4" w:space="0"/>
              <w:left w:val="single" w:color="auto" w:sz="4" w:space="0"/>
              <w:bottom w:val="single" w:color="auto" w:sz="4" w:space="0"/>
              <w:right w:val="single" w:color="auto" w:sz="4" w:space="0"/>
            </w:tcBorders>
            <w:noWrap w:val="0"/>
            <w:vAlign w:val="center"/>
          </w:tcPr>
          <w:p w14:paraId="2A382804">
            <w:pPr>
              <w:pageBreakBefore w:val="0"/>
              <w:widowControl/>
              <w:kinsoku/>
              <w:wordWrap/>
              <w:topLinePunct w:val="0"/>
              <w:bidi w:val="0"/>
              <w:spacing w:line="240" w:lineRule="auto"/>
              <w:jc w:val="left"/>
              <w:rPr>
                <w:rFonts w:ascii="宋体" w:hAnsi="宋体" w:cs="宋体"/>
                <w:kern w:val="0"/>
                <w:sz w:val="24"/>
              </w:rPr>
            </w:pPr>
          </w:p>
        </w:tc>
      </w:tr>
      <w:tr w14:paraId="6B6D3EEB">
        <w:tblPrEx>
          <w:tblCellMar>
            <w:top w:w="0" w:type="dxa"/>
            <w:left w:w="108" w:type="dxa"/>
            <w:bottom w:w="0" w:type="dxa"/>
            <w:right w:w="108" w:type="dxa"/>
          </w:tblCellMar>
        </w:tblPrEx>
        <w:trPr>
          <w:trHeight w:val="630" w:hRule="atLeast"/>
        </w:trPr>
        <w:tc>
          <w:tcPr>
            <w:tcW w:w="1221" w:type="pct"/>
            <w:vMerge w:val="continue"/>
            <w:tcBorders>
              <w:top w:val="nil"/>
              <w:left w:val="single" w:color="auto" w:sz="4" w:space="0"/>
              <w:bottom w:val="single" w:color="auto" w:sz="4" w:space="0"/>
              <w:right w:val="single" w:color="auto" w:sz="4" w:space="0"/>
            </w:tcBorders>
            <w:noWrap w:val="0"/>
            <w:vAlign w:val="center"/>
          </w:tcPr>
          <w:p w14:paraId="3F19982B">
            <w:pPr>
              <w:pageBreakBefore w:val="0"/>
              <w:widowControl/>
              <w:kinsoku/>
              <w:wordWrap/>
              <w:topLinePunct w:val="0"/>
              <w:bidi w:val="0"/>
              <w:spacing w:line="240" w:lineRule="auto"/>
              <w:jc w:val="left"/>
              <w:rPr>
                <w:rFonts w:ascii="宋体" w:hAnsi="宋体" w:cs="宋体"/>
                <w:b/>
                <w:bCs/>
                <w:kern w:val="0"/>
                <w:sz w:val="24"/>
              </w:rPr>
            </w:pPr>
          </w:p>
        </w:tc>
        <w:tc>
          <w:tcPr>
            <w:tcW w:w="3778" w:type="pct"/>
            <w:vMerge w:val="continue"/>
            <w:tcBorders>
              <w:top w:val="single" w:color="auto" w:sz="4" w:space="0"/>
              <w:left w:val="single" w:color="auto" w:sz="4" w:space="0"/>
              <w:bottom w:val="single" w:color="auto" w:sz="4" w:space="0"/>
              <w:right w:val="single" w:color="auto" w:sz="4" w:space="0"/>
            </w:tcBorders>
            <w:noWrap w:val="0"/>
            <w:vAlign w:val="center"/>
          </w:tcPr>
          <w:p w14:paraId="32751984">
            <w:pPr>
              <w:pageBreakBefore w:val="0"/>
              <w:widowControl/>
              <w:kinsoku/>
              <w:wordWrap/>
              <w:topLinePunct w:val="0"/>
              <w:bidi w:val="0"/>
              <w:spacing w:line="240" w:lineRule="auto"/>
              <w:jc w:val="left"/>
              <w:rPr>
                <w:rFonts w:ascii="宋体" w:hAnsi="宋体" w:cs="宋体"/>
                <w:kern w:val="0"/>
                <w:sz w:val="24"/>
              </w:rPr>
            </w:pPr>
          </w:p>
        </w:tc>
      </w:tr>
      <w:tr w14:paraId="09575544">
        <w:tblPrEx>
          <w:tblCellMar>
            <w:top w:w="0" w:type="dxa"/>
            <w:left w:w="108" w:type="dxa"/>
            <w:bottom w:w="0" w:type="dxa"/>
            <w:right w:w="108" w:type="dxa"/>
          </w:tblCellMar>
        </w:tblPrEx>
        <w:trPr>
          <w:trHeight w:val="312" w:hRule="atLeast"/>
        </w:trPr>
        <w:tc>
          <w:tcPr>
            <w:tcW w:w="1221" w:type="pct"/>
            <w:vMerge w:val="restart"/>
            <w:tcBorders>
              <w:top w:val="nil"/>
              <w:left w:val="single" w:color="auto" w:sz="4" w:space="0"/>
              <w:bottom w:val="single" w:color="auto" w:sz="4" w:space="0"/>
              <w:right w:val="single" w:color="auto" w:sz="4" w:space="0"/>
            </w:tcBorders>
            <w:noWrap w:val="0"/>
            <w:vAlign w:val="center"/>
          </w:tcPr>
          <w:p w14:paraId="367AF182">
            <w:pPr>
              <w:pageBreakBefore w:val="0"/>
              <w:widowControl/>
              <w:kinsoku/>
              <w:wordWrap/>
              <w:topLinePunct w:val="0"/>
              <w:bidi w:val="0"/>
              <w:spacing w:line="240" w:lineRule="auto"/>
              <w:jc w:val="center"/>
              <w:rPr>
                <w:rFonts w:hint="eastAsia" w:ascii="宋体" w:hAnsi="宋体" w:cs="宋体"/>
                <w:b/>
                <w:bCs/>
                <w:kern w:val="0"/>
                <w:sz w:val="24"/>
              </w:rPr>
            </w:pPr>
            <w:r>
              <w:rPr>
                <w:rFonts w:hint="eastAsia" w:ascii="宋体" w:hAnsi="宋体" w:cs="宋体"/>
                <w:b/>
                <w:bCs/>
                <w:kern w:val="0"/>
                <w:sz w:val="24"/>
              </w:rPr>
              <w:t>申请更换（新增）</w:t>
            </w:r>
          </w:p>
          <w:p w14:paraId="4838D650">
            <w:pPr>
              <w:pageBreakBefore w:val="0"/>
              <w:widowControl/>
              <w:kinsoku/>
              <w:wordWrap/>
              <w:topLinePunct w:val="0"/>
              <w:bidi w:val="0"/>
              <w:spacing w:line="240" w:lineRule="auto"/>
              <w:jc w:val="center"/>
              <w:rPr>
                <w:rFonts w:ascii="宋体" w:hAnsi="宋体" w:cs="宋体"/>
                <w:b/>
                <w:bCs/>
                <w:kern w:val="0"/>
                <w:sz w:val="24"/>
              </w:rPr>
            </w:pPr>
            <w:r>
              <w:rPr>
                <w:rFonts w:hint="eastAsia" w:ascii="宋体" w:hAnsi="宋体" w:cs="宋体"/>
                <w:b/>
                <w:bCs/>
                <w:kern w:val="0"/>
                <w:sz w:val="24"/>
              </w:rPr>
              <w:t>设备清单</w:t>
            </w:r>
          </w:p>
        </w:tc>
        <w:tc>
          <w:tcPr>
            <w:tcW w:w="3778" w:type="pct"/>
            <w:vMerge w:val="restart"/>
            <w:tcBorders>
              <w:top w:val="single" w:color="auto" w:sz="4" w:space="0"/>
              <w:left w:val="single" w:color="auto" w:sz="4" w:space="0"/>
              <w:bottom w:val="single" w:color="000000" w:sz="4" w:space="0"/>
              <w:right w:val="single" w:color="000000" w:sz="4" w:space="0"/>
            </w:tcBorders>
            <w:noWrap w:val="0"/>
            <w:vAlign w:val="center"/>
          </w:tcPr>
          <w:p w14:paraId="5AB6E440">
            <w:pPr>
              <w:pageBreakBefore w:val="0"/>
              <w:widowControl/>
              <w:kinsoku/>
              <w:wordWrap/>
              <w:topLinePunct w:val="0"/>
              <w:bidi w:val="0"/>
              <w:spacing w:line="240" w:lineRule="auto"/>
              <w:jc w:val="center"/>
              <w:rPr>
                <w:rFonts w:ascii="宋体" w:hAnsi="宋体" w:cs="宋体"/>
                <w:kern w:val="0"/>
                <w:sz w:val="24"/>
              </w:rPr>
            </w:pPr>
            <w:r>
              <w:rPr>
                <w:rFonts w:hint="eastAsia" w:ascii="宋体" w:hAnsi="宋体" w:cs="宋体"/>
                <w:kern w:val="0"/>
                <w:sz w:val="24"/>
              </w:rPr>
              <w:t>（清单内容包括：原设备名称、型号、数量、放置位置；所更换新设备的名称、型号、数量、放置位置和价格等，可另附清单）</w:t>
            </w:r>
          </w:p>
        </w:tc>
      </w:tr>
      <w:tr w14:paraId="326A2AB2">
        <w:tblPrEx>
          <w:tblCellMar>
            <w:top w:w="0" w:type="dxa"/>
            <w:left w:w="108" w:type="dxa"/>
            <w:bottom w:w="0" w:type="dxa"/>
            <w:right w:w="108" w:type="dxa"/>
          </w:tblCellMar>
        </w:tblPrEx>
        <w:trPr>
          <w:trHeight w:val="312" w:hRule="atLeast"/>
        </w:trPr>
        <w:tc>
          <w:tcPr>
            <w:tcW w:w="1221" w:type="pct"/>
            <w:vMerge w:val="continue"/>
            <w:tcBorders>
              <w:top w:val="nil"/>
              <w:left w:val="single" w:color="auto" w:sz="4" w:space="0"/>
              <w:bottom w:val="single" w:color="auto" w:sz="4" w:space="0"/>
              <w:right w:val="single" w:color="auto" w:sz="4" w:space="0"/>
            </w:tcBorders>
            <w:noWrap w:val="0"/>
            <w:vAlign w:val="center"/>
          </w:tcPr>
          <w:p w14:paraId="300829EB">
            <w:pPr>
              <w:pageBreakBefore w:val="0"/>
              <w:widowControl/>
              <w:kinsoku/>
              <w:wordWrap/>
              <w:topLinePunct w:val="0"/>
              <w:bidi w:val="0"/>
              <w:spacing w:line="240" w:lineRule="auto"/>
              <w:jc w:val="left"/>
              <w:rPr>
                <w:rFonts w:ascii="宋体" w:hAnsi="宋体" w:cs="宋体"/>
                <w:b/>
                <w:bCs/>
                <w:kern w:val="0"/>
                <w:sz w:val="24"/>
              </w:rPr>
            </w:pPr>
          </w:p>
        </w:tc>
        <w:tc>
          <w:tcPr>
            <w:tcW w:w="3778" w:type="pct"/>
            <w:vMerge w:val="continue"/>
            <w:tcBorders>
              <w:top w:val="single" w:color="auto" w:sz="4" w:space="0"/>
              <w:left w:val="single" w:color="auto" w:sz="4" w:space="0"/>
              <w:bottom w:val="single" w:color="000000" w:sz="4" w:space="0"/>
              <w:right w:val="single" w:color="000000" w:sz="4" w:space="0"/>
            </w:tcBorders>
            <w:noWrap w:val="0"/>
            <w:vAlign w:val="center"/>
          </w:tcPr>
          <w:p w14:paraId="0237A2BF">
            <w:pPr>
              <w:pageBreakBefore w:val="0"/>
              <w:widowControl/>
              <w:kinsoku/>
              <w:wordWrap/>
              <w:topLinePunct w:val="0"/>
              <w:bidi w:val="0"/>
              <w:spacing w:line="240" w:lineRule="auto"/>
              <w:jc w:val="left"/>
              <w:rPr>
                <w:rFonts w:ascii="宋体" w:hAnsi="宋体" w:cs="宋体"/>
                <w:kern w:val="0"/>
                <w:sz w:val="24"/>
              </w:rPr>
            </w:pPr>
          </w:p>
        </w:tc>
      </w:tr>
      <w:tr w14:paraId="3FCAF64D">
        <w:tblPrEx>
          <w:tblCellMar>
            <w:top w:w="0" w:type="dxa"/>
            <w:left w:w="108" w:type="dxa"/>
            <w:bottom w:w="0" w:type="dxa"/>
            <w:right w:w="108" w:type="dxa"/>
          </w:tblCellMar>
        </w:tblPrEx>
        <w:trPr>
          <w:trHeight w:val="312" w:hRule="atLeast"/>
        </w:trPr>
        <w:tc>
          <w:tcPr>
            <w:tcW w:w="1221" w:type="pct"/>
            <w:vMerge w:val="continue"/>
            <w:tcBorders>
              <w:top w:val="nil"/>
              <w:left w:val="single" w:color="auto" w:sz="4" w:space="0"/>
              <w:bottom w:val="single" w:color="auto" w:sz="4" w:space="0"/>
              <w:right w:val="single" w:color="auto" w:sz="4" w:space="0"/>
            </w:tcBorders>
            <w:noWrap w:val="0"/>
            <w:vAlign w:val="center"/>
          </w:tcPr>
          <w:p w14:paraId="77553A96">
            <w:pPr>
              <w:pageBreakBefore w:val="0"/>
              <w:widowControl/>
              <w:kinsoku/>
              <w:wordWrap/>
              <w:topLinePunct w:val="0"/>
              <w:bidi w:val="0"/>
              <w:spacing w:line="240" w:lineRule="auto"/>
              <w:jc w:val="left"/>
              <w:rPr>
                <w:rFonts w:ascii="宋体" w:hAnsi="宋体" w:cs="宋体"/>
                <w:b/>
                <w:bCs/>
                <w:kern w:val="0"/>
                <w:sz w:val="24"/>
              </w:rPr>
            </w:pPr>
          </w:p>
        </w:tc>
        <w:tc>
          <w:tcPr>
            <w:tcW w:w="3778" w:type="pct"/>
            <w:vMerge w:val="continue"/>
            <w:tcBorders>
              <w:top w:val="single" w:color="auto" w:sz="4" w:space="0"/>
              <w:left w:val="single" w:color="auto" w:sz="4" w:space="0"/>
              <w:bottom w:val="single" w:color="000000" w:sz="4" w:space="0"/>
              <w:right w:val="single" w:color="000000" w:sz="4" w:space="0"/>
            </w:tcBorders>
            <w:noWrap w:val="0"/>
            <w:vAlign w:val="center"/>
          </w:tcPr>
          <w:p w14:paraId="6CC9DF68">
            <w:pPr>
              <w:pageBreakBefore w:val="0"/>
              <w:widowControl/>
              <w:kinsoku/>
              <w:wordWrap/>
              <w:topLinePunct w:val="0"/>
              <w:bidi w:val="0"/>
              <w:spacing w:line="240" w:lineRule="auto"/>
              <w:jc w:val="left"/>
              <w:rPr>
                <w:rFonts w:ascii="宋体" w:hAnsi="宋体" w:cs="宋体"/>
                <w:kern w:val="0"/>
                <w:sz w:val="24"/>
              </w:rPr>
            </w:pPr>
          </w:p>
        </w:tc>
      </w:tr>
      <w:tr w14:paraId="5F8488CF">
        <w:tblPrEx>
          <w:tblCellMar>
            <w:top w:w="0" w:type="dxa"/>
            <w:left w:w="108" w:type="dxa"/>
            <w:bottom w:w="0" w:type="dxa"/>
            <w:right w:w="108" w:type="dxa"/>
          </w:tblCellMar>
        </w:tblPrEx>
        <w:trPr>
          <w:trHeight w:val="312" w:hRule="atLeast"/>
        </w:trPr>
        <w:tc>
          <w:tcPr>
            <w:tcW w:w="1221" w:type="pct"/>
            <w:vMerge w:val="continue"/>
            <w:tcBorders>
              <w:top w:val="nil"/>
              <w:left w:val="single" w:color="auto" w:sz="4" w:space="0"/>
              <w:bottom w:val="single" w:color="auto" w:sz="4" w:space="0"/>
              <w:right w:val="single" w:color="auto" w:sz="4" w:space="0"/>
            </w:tcBorders>
            <w:noWrap w:val="0"/>
            <w:vAlign w:val="center"/>
          </w:tcPr>
          <w:p w14:paraId="7C4D1C5A">
            <w:pPr>
              <w:pageBreakBefore w:val="0"/>
              <w:widowControl/>
              <w:kinsoku/>
              <w:wordWrap/>
              <w:topLinePunct w:val="0"/>
              <w:bidi w:val="0"/>
              <w:spacing w:line="240" w:lineRule="auto"/>
              <w:jc w:val="left"/>
              <w:rPr>
                <w:rFonts w:ascii="宋体" w:hAnsi="宋体" w:cs="宋体"/>
                <w:b/>
                <w:bCs/>
                <w:kern w:val="0"/>
                <w:sz w:val="24"/>
              </w:rPr>
            </w:pPr>
          </w:p>
        </w:tc>
        <w:tc>
          <w:tcPr>
            <w:tcW w:w="3778" w:type="pct"/>
            <w:vMerge w:val="continue"/>
            <w:tcBorders>
              <w:top w:val="single" w:color="auto" w:sz="4" w:space="0"/>
              <w:left w:val="single" w:color="auto" w:sz="4" w:space="0"/>
              <w:bottom w:val="single" w:color="000000" w:sz="4" w:space="0"/>
              <w:right w:val="single" w:color="000000" w:sz="4" w:space="0"/>
            </w:tcBorders>
            <w:noWrap w:val="0"/>
            <w:vAlign w:val="center"/>
          </w:tcPr>
          <w:p w14:paraId="7AFDC2C3">
            <w:pPr>
              <w:pageBreakBefore w:val="0"/>
              <w:widowControl/>
              <w:kinsoku/>
              <w:wordWrap/>
              <w:topLinePunct w:val="0"/>
              <w:bidi w:val="0"/>
              <w:spacing w:line="240" w:lineRule="auto"/>
              <w:jc w:val="left"/>
              <w:rPr>
                <w:rFonts w:ascii="宋体" w:hAnsi="宋体" w:cs="宋体"/>
                <w:kern w:val="0"/>
                <w:sz w:val="24"/>
              </w:rPr>
            </w:pPr>
          </w:p>
        </w:tc>
      </w:tr>
      <w:tr w14:paraId="640BDA17">
        <w:trPr>
          <w:trHeight w:val="312" w:hRule="atLeast"/>
        </w:trPr>
        <w:tc>
          <w:tcPr>
            <w:tcW w:w="1221" w:type="pct"/>
            <w:vMerge w:val="continue"/>
            <w:tcBorders>
              <w:top w:val="nil"/>
              <w:left w:val="single" w:color="auto" w:sz="4" w:space="0"/>
              <w:bottom w:val="single" w:color="auto" w:sz="4" w:space="0"/>
              <w:right w:val="single" w:color="auto" w:sz="4" w:space="0"/>
            </w:tcBorders>
            <w:noWrap w:val="0"/>
            <w:vAlign w:val="center"/>
          </w:tcPr>
          <w:p w14:paraId="19A64807">
            <w:pPr>
              <w:pageBreakBefore w:val="0"/>
              <w:widowControl/>
              <w:kinsoku/>
              <w:wordWrap/>
              <w:topLinePunct w:val="0"/>
              <w:bidi w:val="0"/>
              <w:spacing w:line="240" w:lineRule="auto"/>
              <w:jc w:val="left"/>
              <w:rPr>
                <w:rFonts w:ascii="宋体" w:hAnsi="宋体" w:cs="宋体"/>
                <w:b/>
                <w:bCs/>
                <w:kern w:val="0"/>
                <w:sz w:val="24"/>
              </w:rPr>
            </w:pPr>
          </w:p>
        </w:tc>
        <w:tc>
          <w:tcPr>
            <w:tcW w:w="3778" w:type="pct"/>
            <w:vMerge w:val="continue"/>
            <w:tcBorders>
              <w:top w:val="single" w:color="auto" w:sz="4" w:space="0"/>
              <w:left w:val="single" w:color="auto" w:sz="4" w:space="0"/>
              <w:bottom w:val="single" w:color="000000" w:sz="4" w:space="0"/>
              <w:right w:val="single" w:color="000000" w:sz="4" w:space="0"/>
            </w:tcBorders>
            <w:noWrap w:val="0"/>
            <w:vAlign w:val="center"/>
          </w:tcPr>
          <w:p w14:paraId="16CEC776">
            <w:pPr>
              <w:pageBreakBefore w:val="0"/>
              <w:widowControl/>
              <w:kinsoku/>
              <w:wordWrap/>
              <w:topLinePunct w:val="0"/>
              <w:bidi w:val="0"/>
              <w:spacing w:line="240" w:lineRule="auto"/>
              <w:jc w:val="left"/>
              <w:rPr>
                <w:rFonts w:ascii="宋体" w:hAnsi="宋体" w:cs="宋体"/>
                <w:kern w:val="0"/>
                <w:sz w:val="24"/>
              </w:rPr>
            </w:pPr>
          </w:p>
        </w:tc>
      </w:tr>
      <w:tr w14:paraId="2737B332">
        <w:tblPrEx>
          <w:tblCellMar>
            <w:top w:w="0" w:type="dxa"/>
            <w:left w:w="108" w:type="dxa"/>
            <w:bottom w:w="0" w:type="dxa"/>
            <w:right w:w="108" w:type="dxa"/>
          </w:tblCellMar>
        </w:tblPrEx>
        <w:trPr>
          <w:trHeight w:val="1336" w:hRule="atLeast"/>
        </w:trPr>
        <w:tc>
          <w:tcPr>
            <w:tcW w:w="1221" w:type="pct"/>
            <w:vMerge w:val="continue"/>
            <w:tcBorders>
              <w:top w:val="nil"/>
              <w:left w:val="single" w:color="auto" w:sz="4" w:space="0"/>
              <w:bottom w:val="single" w:color="auto" w:sz="4" w:space="0"/>
              <w:right w:val="single" w:color="auto" w:sz="4" w:space="0"/>
            </w:tcBorders>
            <w:noWrap w:val="0"/>
            <w:vAlign w:val="center"/>
          </w:tcPr>
          <w:p w14:paraId="5E1006AB">
            <w:pPr>
              <w:pageBreakBefore w:val="0"/>
              <w:widowControl/>
              <w:kinsoku/>
              <w:wordWrap/>
              <w:topLinePunct w:val="0"/>
              <w:bidi w:val="0"/>
              <w:spacing w:line="240" w:lineRule="auto"/>
              <w:jc w:val="left"/>
              <w:rPr>
                <w:rFonts w:ascii="宋体" w:hAnsi="宋体" w:cs="宋体"/>
                <w:b/>
                <w:bCs/>
                <w:kern w:val="0"/>
                <w:sz w:val="24"/>
              </w:rPr>
            </w:pPr>
          </w:p>
        </w:tc>
        <w:tc>
          <w:tcPr>
            <w:tcW w:w="3778" w:type="pct"/>
            <w:vMerge w:val="continue"/>
            <w:tcBorders>
              <w:top w:val="single" w:color="auto" w:sz="4" w:space="0"/>
              <w:left w:val="single" w:color="auto" w:sz="4" w:space="0"/>
              <w:bottom w:val="single" w:color="000000" w:sz="4" w:space="0"/>
              <w:right w:val="single" w:color="000000" w:sz="4" w:space="0"/>
            </w:tcBorders>
            <w:noWrap w:val="0"/>
            <w:vAlign w:val="center"/>
          </w:tcPr>
          <w:p w14:paraId="54B65F95">
            <w:pPr>
              <w:pageBreakBefore w:val="0"/>
              <w:widowControl/>
              <w:kinsoku/>
              <w:wordWrap/>
              <w:topLinePunct w:val="0"/>
              <w:bidi w:val="0"/>
              <w:spacing w:line="240" w:lineRule="auto"/>
              <w:jc w:val="left"/>
              <w:rPr>
                <w:rFonts w:ascii="宋体" w:hAnsi="宋体" w:cs="宋体"/>
                <w:kern w:val="0"/>
                <w:sz w:val="24"/>
              </w:rPr>
            </w:pPr>
          </w:p>
        </w:tc>
      </w:tr>
      <w:tr w14:paraId="54049115">
        <w:tblPrEx>
          <w:tblCellMar>
            <w:top w:w="0" w:type="dxa"/>
            <w:left w:w="108" w:type="dxa"/>
            <w:bottom w:w="0" w:type="dxa"/>
            <w:right w:w="108" w:type="dxa"/>
          </w:tblCellMar>
        </w:tblPrEx>
        <w:trPr>
          <w:trHeight w:val="1380" w:hRule="atLeast"/>
        </w:trPr>
        <w:tc>
          <w:tcPr>
            <w:tcW w:w="1221" w:type="pct"/>
            <w:tcBorders>
              <w:top w:val="nil"/>
              <w:left w:val="single" w:color="auto" w:sz="4" w:space="0"/>
              <w:bottom w:val="single" w:color="auto" w:sz="4" w:space="0"/>
              <w:right w:val="single" w:color="auto" w:sz="4" w:space="0"/>
            </w:tcBorders>
            <w:noWrap w:val="0"/>
            <w:vAlign w:val="center"/>
          </w:tcPr>
          <w:p w14:paraId="70CD8069">
            <w:pPr>
              <w:pageBreakBefore w:val="0"/>
              <w:widowControl/>
              <w:kinsoku/>
              <w:wordWrap/>
              <w:topLinePunct w:val="0"/>
              <w:bidi w:val="0"/>
              <w:spacing w:line="240" w:lineRule="auto"/>
              <w:jc w:val="center"/>
              <w:rPr>
                <w:rFonts w:ascii="宋体" w:hAnsi="宋体" w:cs="宋体"/>
                <w:b/>
                <w:bCs/>
                <w:kern w:val="0"/>
                <w:sz w:val="24"/>
              </w:rPr>
            </w:pPr>
            <w:r>
              <w:rPr>
                <w:rFonts w:hint="eastAsia" w:ascii="宋体" w:hAnsi="宋体" w:cs="宋体"/>
                <w:b/>
                <w:bCs/>
                <w:kern w:val="0"/>
                <w:sz w:val="24"/>
              </w:rPr>
              <w:t>维保单位意见</w:t>
            </w:r>
          </w:p>
        </w:tc>
        <w:tc>
          <w:tcPr>
            <w:tcW w:w="3778" w:type="pct"/>
            <w:tcBorders>
              <w:top w:val="single" w:color="auto" w:sz="4" w:space="0"/>
              <w:left w:val="nil"/>
              <w:bottom w:val="single" w:color="auto" w:sz="4" w:space="0"/>
              <w:right w:val="single" w:color="auto" w:sz="4" w:space="0"/>
            </w:tcBorders>
            <w:noWrap w:val="0"/>
            <w:vAlign w:val="bottom"/>
          </w:tcPr>
          <w:p w14:paraId="1819993A">
            <w:pPr>
              <w:pageBreakBefore w:val="0"/>
              <w:widowControl/>
              <w:kinsoku/>
              <w:wordWrap/>
              <w:topLinePunct w:val="0"/>
              <w:bidi w:val="0"/>
              <w:spacing w:line="240" w:lineRule="auto"/>
              <w:jc w:val="left"/>
              <w:rPr>
                <w:rFonts w:ascii="宋体" w:hAnsi="宋体" w:cs="宋体"/>
                <w:kern w:val="0"/>
                <w:sz w:val="24"/>
              </w:rPr>
            </w:pPr>
            <w:r>
              <w:rPr>
                <w:rFonts w:hint="eastAsia" w:ascii="宋体" w:hAnsi="宋体" w:cs="宋体"/>
                <w:kern w:val="0"/>
                <w:sz w:val="24"/>
              </w:rPr>
              <w:t xml:space="preserve">                    </w:t>
            </w:r>
            <w:r>
              <w:rPr>
                <w:rFonts w:hint="eastAsia" w:ascii="宋体" w:hAnsi="宋体" w:cs="宋体"/>
                <w:b/>
                <w:bCs/>
                <w:kern w:val="0"/>
                <w:sz w:val="24"/>
              </w:rPr>
              <w:t>维保单位项目经理：        （盖章）</w:t>
            </w:r>
          </w:p>
        </w:tc>
      </w:tr>
      <w:tr w14:paraId="30BDEE58">
        <w:tblPrEx>
          <w:tblCellMar>
            <w:top w:w="0" w:type="dxa"/>
            <w:left w:w="108" w:type="dxa"/>
            <w:bottom w:w="0" w:type="dxa"/>
            <w:right w:w="108" w:type="dxa"/>
          </w:tblCellMar>
        </w:tblPrEx>
        <w:trPr>
          <w:trHeight w:val="1670" w:hRule="atLeast"/>
        </w:trPr>
        <w:tc>
          <w:tcPr>
            <w:tcW w:w="1221" w:type="pct"/>
            <w:tcBorders>
              <w:top w:val="nil"/>
              <w:left w:val="single" w:color="auto" w:sz="4" w:space="0"/>
              <w:bottom w:val="single" w:color="auto" w:sz="4" w:space="0"/>
              <w:right w:val="single" w:color="auto" w:sz="4" w:space="0"/>
            </w:tcBorders>
            <w:noWrap w:val="0"/>
            <w:vAlign w:val="center"/>
          </w:tcPr>
          <w:p w14:paraId="235C30CE">
            <w:pPr>
              <w:pageBreakBefore w:val="0"/>
              <w:widowControl/>
              <w:kinsoku/>
              <w:wordWrap/>
              <w:topLinePunct w:val="0"/>
              <w:bidi w:val="0"/>
              <w:spacing w:line="240" w:lineRule="auto"/>
              <w:jc w:val="center"/>
              <w:rPr>
                <w:rFonts w:ascii="宋体" w:hAnsi="宋体" w:cs="宋体"/>
                <w:b/>
                <w:bCs/>
                <w:kern w:val="0"/>
                <w:sz w:val="24"/>
              </w:rPr>
            </w:pPr>
            <w:r>
              <w:rPr>
                <w:rFonts w:hint="eastAsia" w:ascii="宋体" w:hAnsi="宋体" w:cs="宋体"/>
                <w:b/>
                <w:bCs/>
                <w:kern w:val="0"/>
                <w:sz w:val="24"/>
              </w:rPr>
              <w:t>监控管理</w:t>
            </w:r>
          </w:p>
          <w:p w14:paraId="6822C5F8">
            <w:pPr>
              <w:pageBreakBefore w:val="0"/>
              <w:widowControl/>
              <w:kinsoku/>
              <w:wordWrap/>
              <w:topLinePunct w:val="0"/>
              <w:bidi w:val="0"/>
              <w:spacing w:line="240" w:lineRule="auto"/>
              <w:jc w:val="center"/>
              <w:rPr>
                <w:rFonts w:ascii="宋体" w:hAnsi="宋体" w:cs="宋体"/>
                <w:b/>
                <w:bCs/>
                <w:kern w:val="0"/>
                <w:sz w:val="24"/>
              </w:rPr>
            </w:pPr>
            <w:r>
              <w:rPr>
                <w:rFonts w:hint="eastAsia" w:ascii="宋体" w:hAnsi="宋体" w:cs="宋体"/>
                <w:b/>
                <w:bCs/>
                <w:kern w:val="0"/>
                <w:sz w:val="24"/>
              </w:rPr>
              <w:t>负责人意见</w:t>
            </w:r>
          </w:p>
        </w:tc>
        <w:tc>
          <w:tcPr>
            <w:tcW w:w="3778" w:type="pct"/>
            <w:tcBorders>
              <w:top w:val="single" w:color="auto" w:sz="4" w:space="0"/>
              <w:left w:val="nil"/>
              <w:bottom w:val="single" w:color="auto" w:sz="4" w:space="0"/>
              <w:right w:val="single" w:color="auto" w:sz="4" w:space="0"/>
            </w:tcBorders>
            <w:noWrap w:val="0"/>
            <w:vAlign w:val="bottom"/>
          </w:tcPr>
          <w:p w14:paraId="0B0A958C">
            <w:pPr>
              <w:pageBreakBefore w:val="0"/>
              <w:widowControl/>
              <w:kinsoku/>
              <w:wordWrap/>
              <w:topLinePunct w:val="0"/>
              <w:bidi w:val="0"/>
              <w:spacing w:line="240" w:lineRule="auto"/>
              <w:jc w:val="left"/>
              <w:rPr>
                <w:rFonts w:ascii="宋体" w:hAnsi="宋体" w:cs="宋体"/>
                <w:kern w:val="0"/>
                <w:sz w:val="24"/>
              </w:rPr>
            </w:pPr>
            <w:r>
              <w:rPr>
                <w:rFonts w:hint="eastAsia" w:ascii="宋体" w:hAnsi="宋体" w:cs="宋体"/>
                <w:kern w:val="0"/>
                <w:sz w:val="24"/>
              </w:rPr>
              <w:t xml:space="preserve">                     </w:t>
            </w:r>
            <w:r>
              <w:rPr>
                <w:rFonts w:hint="eastAsia" w:ascii="宋体" w:hAnsi="宋体" w:cs="宋体"/>
                <w:b/>
                <w:bCs/>
                <w:kern w:val="0"/>
                <w:sz w:val="24"/>
              </w:rPr>
              <w:t>签名：                日期：</w:t>
            </w:r>
          </w:p>
        </w:tc>
      </w:tr>
      <w:tr w14:paraId="21C9D84D">
        <w:tblPrEx>
          <w:tblCellMar>
            <w:top w:w="0" w:type="dxa"/>
            <w:left w:w="108" w:type="dxa"/>
            <w:bottom w:w="0" w:type="dxa"/>
            <w:right w:w="108" w:type="dxa"/>
          </w:tblCellMar>
        </w:tblPrEx>
        <w:trPr>
          <w:trHeight w:val="1836" w:hRule="atLeast"/>
        </w:trPr>
        <w:tc>
          <w:tcPr>
            <w:tcW w:w="1221" w:type="pct"/>
            <w:tcBorders>
              <w:top w:val="nil"/>
              <w:left w:val="single" w:color="auto" w:sz="4" w:space="0"/>
              <w:bottom w:val="single" w:color="auto" w:sz="4" w:space="0"/>
              <w:right w:val="single" w:color="auto" w:sz="4" w:space="0"/>
            </w:tcBorders>
            <w:noWrap w:val="0"/>
            <w:vAlign w:val="center"/>
          </w:tcPr>
          <w:p w14:paraId="76BC39E2">
            <w:pPr>
              <w:pageBreakBefore w:val="0"/>
              <w:widowControl/>
              <w:kinsoku/>
              <w:wordWrap/>
              <w:topLinePunct w:val="0"/>
              <w:bidi w:val="0"/>
              <w:spacing w:line="240" w:lineRule="auto"/>
              <w:jc w:val="center"/>
              <w:rPr>
                <w:rFonts w:hint="eastAsia" w:ascii="宋体" w:hAnsi="宋体" w:cs="宋体"/>
                <w:b/>
                <w:bCs/>
                <w:kern w:val="0"/>
                <w:sz w:val="24"/>
                <w:lang w:eastAsia="zh-CN"/>
              </w:rPr>
            </w:pPr>
            <w:r>
              <w:rPr>
                <w:rFonts w:hint="eastAsia" w:ascii="宋体" w:hAnsi="宋体" w:cs="宋体"/>
                <w:b/>
                <w:bCs/>
                <w:kern w:val="0"/>
                <w:sz w:val="24"/>
                <w:lang w:eastAsia="zh-CN"/>
              </w:rPr>
              <w:t>使用部门</w:t>
            </w:r>
          </w:p>
          <w:p w14:paraId="09F4B9BD">
            <w:pPr>
              <w:pageBreakBefore w:val="0"/>
              <w:widowControl/>
              <w:kinsoku/>
              <w:wordWrap/>
              <w:topLinePunct w:val="0"/>
              <w:bidi w:val="0"/>
              <w:spacing w:line="240" w:lineRule="auto"/>
              <w:jc w:val="center"/>
              <w:rPr>
                <w:rFonts w:ascii="宋体" w:hAnsi="宋体" w:cs="宋体"/>
                <w:b/>
                <w:bCs/>
                <w:kern w:val="0"/>
                <w:sz w:val="24"/>
              </w:rPr>
            </w:pPr>
            <w:r>
              <w:rPr>
                <w:rFonts w:hint="eastAsia" w:ascii="宋体" w:hAnsi="宋体" w:cs="宋体"/>
                <w:b/>
                <w:bCs/>
                <w:kern w:val="0"/>
                <w:sz w:val="24"/>
              </w:rPr>
              <w:t>负责人意见</w:t>
            </w:r>
          </w:p>
        </w:tc>
        <w:tc>
          <w:tcPr>
            <w:tcW w:w="3778" w:type="pct"/>
            <w:tcBorders>
              <w:top w:val="single" w:color="auto" w:sz="4" w:space="0"/>
              <w:left w:val="nil"/>
              <w:bottom w:val="single" w:color="auto" w:sz="4" w:space="0"/>
              <w:right w:val="single" w:color="auto" w:sz="4" w:space="0"/>
            </w:tcBorders>
            <w:noWrap w:val="0"/>
            <w:vAlign w:val="bottom"/>
          </w:tcPr>
          <w:p w14:paraId="198A0229">
            <w:pPr>
              <w:pageBreakBefore w:val="0"/>
              <w:widowControl/>
              <w:kinsoku/>
              <w:wordWrap/>
              <w:topLinePunct w:val="0"/>
              <w:bidi w:val="0"/>
              <w:spacing w:line="240" w:lineRule="auto"/>
              <w:ind w:firstLine="2645" w:firstLineChars="1098"/>
              <w:jc w:val="left"/>
              <w:rPr>
                <w:rFonts w:ascii="宋体" w:hAnsi="宋体" w:cs="宋体"/>
                <w:b/>
                <w:kern w:val="0"/>
                <w:sz w:val="24"/>
              </w:rPr>
            </w:pPr>
            <w:r>
              <w:rPr>
                <w:rFonts w:hint="eastAsia" w:ascii="宋体" w:hAnsi="宋体" w:cs="宋体"/>
                <w:b/>
                <w:kern w:val="0"/>
                <w:sz w:val="24"/>
              </w:rPr>
              <w:t>签名：               日期：</w:t>
            </w:r>
          </w:p>
        </w:tc>
      </w:tr>
    </w:tbl>
    <w:p w14:paraId="6C144D8C">
      <w:pPr>
        <w:pageBreakBefore w:val="0"/>
        <w:kinsoku/>
        <w:wordWrap/>
        <w:topLinePunct w:val="0"/>
        <w:bidi w:val="0"/>
        <w:spacing w:line="360" w:lineRule="auto"/>
        <w:rPr>
          <w:rFonts w:hint="eastAsia" w:ascii="宋体" w:hAnsi="宋体" w:eastAsia="宋体" w:cs="宋体"/>
          <w:sz w:val="24"/>
          <w:szCs w:val="24"/>
          <w:lang w:eastAsia="zh-CN"/>
        </w:rPr>
      </w:pPr>
    </w:p>
    <w:p w14:paraId="03E5CA0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（三）维护人员要求</w:t>
      </w:r>
    </w:p>
    <w:p w14:paraId="3BE3CD1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★在常州市武进区设立售后维护点，本项目组成员不少于</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人（提供近</w:t>
      </w:r>
      <w:r>
        <w:rPr>
          <w:rFonts w:hint="eastAsia" w:ascii="宋体" w:hAnsi="宋体" w:eastAsia="宋体" w:cs="宋体"/>
          <w:sz w:val="24"/>
          <w:szCs w:val="24"/>
          <w:lang w:val="en-US" w:eastAsia="zh-CN"/>
        </w:rPr>
        <w:t>3个月的社保缴纳证明）</w:t>
      </w:r>
      <w:r>
        <w:rPr>
          <w:rFonts w:hint="eastAsia" w:ascii="宋体" w:hAnsi="宋体" w:eastAsia="宋体" w:cs="宋体"/>
          <w:sz w:val="24"/>
          <w:szCs w:val="24"/>
          <w:lang w:eastAsia="zh-CN"/>
        </w:rPr>
        <w:t>，其中常驻常州</w:t>
      </w:r>
      <w:r>
        <w:rPr>
          <w:rFonts w:hint="eastAsia" w:ascii="宋体" w:hAnsi="宋体" w:eastAsia="宋体" w:cs="宋体"/>
          <w:sz w:val="24"/>
          <w:szCs w:val="24"/>
          <w:lang w:val="en-US" w:eastAsia="zh-CN"/>
        </w:rPr>
        <w:t>工业</w:t>
      </w:r>
      <w:r>
        <w:rPr>
          <w:rFonts w:hint="eastAsia" w:ascii="宋体" w:hAnsi="宋体" w:eastAsia="宋体" w:cs="宋体"/>
          <w:sz w:val="24"/>
          <w:szCs w:val="24"/>
          <w:lang w:eastAsia="zh-CN"/>
        </w:rPr>
        <w:t>职业技术学院的不少于</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人。每个工作日项目组成员均需根据学校要求实施上下班打卡（由校方指定地点），若每月缺勤率高于30%，甲方有权立即终止合同。维护人员需统一工作服装并有明显标识，接受采购单位管理制度。</w:t>
      </w:r>
    </w:p>
    <w:p w14:paraId="0BCE393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（四）工作时间要求</w:t>
      </w:r>
    </w:p>
    <w:p w14:paraId="4B5A0CD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提供7×24小时维保响应服务，确保随时接听报修电话，随时对设备进行抢修；遇学校各类活动或重要任务，应根据校方要求按规定调整现场人员数量和上下班时间。</w:t>
      </w:r>
    </w:p>
    <w:p w14:paraId="400FBA8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（五）专用设备要求</w:t>
      </w:r>
    </w:p>
    <w:p w14:paraId="3A3D096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维保单位应配备日常维护、应急抢修等专用设备和工具。</w:t>
      </w:r>
    </w:p>
    <w:p w14:paraId="187C854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（六）信息安全要求</w:t>
      </w:r>
    </w:p>
    <w:p w14:paraId="2A3E425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维保单位保证其公司服务人员在合同期内所接触的学校的各种文件、数据、资料和账号密码等必须严格遵守保密制度，不得向第三方泄露。</w:t>
      </w:r>
    </w:p>
    <w:p w14:paraId="68428E3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学校与维保公司签订数据保密协议。服务人员凡以直接、间接、口头或书面等形式提供涉及保密内容的行为均属于泄密行为，学校将追究当事人及维保单位的责任。</w:t>
      </w:r>
    </w:p>
    <w:p w14:paraId="78D9D52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（七）基本考核要求</w:t>
      </w:r>
    </w:p>
    <w:p w14:paraId="25FBE84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学校将对维保项目实施过程中的文档资料、设备设施和软件系统运行、工作效能和满意度共5个方面进行月度考核。月度考核表</w:t>
      </w:r>
      <w:r>
        <w:rPr>
          <w:rFonts w:hint="eastAsia" w:cs="宋体"/>
          <w:sz w:val="24"/>
          <w:szCs w:val="24"/>
          <w:lang w:val="en-US" w:eastAsia="zh-CN"/>
        </w:rPr>
        <w:t>如下所示</w:t>
      </w:r>
      <w:r>
        <w:rPr>
          <w:rFonts w:hint="eastAsia" w:ascii="宋体" w:hAnsi="宋体" w:eastAsia="宋体" w:cs="宋体"/>
          <w:sz w:val="24"/>
          <w:szCs w:val="24"/>
          <w:lang w:eastAsia="zh-CN"/>
        </w:rPr>
        <w:t>，若月度考核总分低于70分2次，甲方可直接终止合同，服务费按月度平均的80%结算。</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383"/>
        <w:gridCol w:w="4373"/>
        <w:gridCol w:w="868"/>
        <w:gridCol w:w="1177"/>
      </w:tblGrid>
      <w:tr w14:paraId="1AE9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522" w:type="dxa"/>
            <w:gridSpan w:val="5"/>
            <w:tcBorders>
              <w:top w:val="single" w:color="auto" w:sz="4" w:space="0"/>
              <w:left w:val="single" w:color="auto" w:sz="4" w:space="0"/>
              <w:bottom w:val="single" w:color="auto" w:sz="4" w:space="0"/>
              <w:right w:val="single" w:color="auto" w:sz="4" w:space="0"/>
            </w:tcBorders>
            <w:vAlign w:val="center"/>
          </w:tcPr>
          <w:p w14:paraId="51DFF4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rPr>
              <w:t>常州工业职业技术学院</w:t>
            </w:r>
          </w:p>
          <w:p w14:paraId="238AA5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b w:val="0"/>
                <w:bCs w:val="0"/>
                <w:sz w:val="28"/>
                <w:szCs w:val="28"/>
              </w:rPr>
              <w:t>2025-2026年校园安防系统运维服务外包项目月度考核表</w:t>
            </w:r>
          </w:p>
        </w:tc>
      </w:tr>
      <w:tr w14:paraId="015E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522" w:type="dxa"/>
            <w:gridSpan w:val="5"/>
            <w:tcBorders>
              <w:top w:val="single" w:color="auto" w:sz="4" w:space="0"/>
              <w:left w:val="single" w:color="auto" w:sz="4" w:space="0"/>
              <w:bottom w:val="single" w:color="auto" w:sz="4" w:space="0"/>
              <w:right w:val="single" w:color="auto" w:sz="4" w:space="0"/>
            </w:tcBorders>
            <w:vAlign w:val="center"/>
          </w:tcPr>
          <w:p w14:paraId="4A4AF8F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18"/>
                <w:szCs w:val="18"/>
              </w:rPr>
            </w:pPr>
            <w:r>
              <w:rPr>
                <w:rFonts w:hint="eastAsia" w:ascii="宋体" w:hAnsi="宋体" w:eastAsia="宋体" w:cs="宋体"/>
                <w:sz w:val="18"/>
                <w:szCs w:val="18"/>
              </w:rPr>
              <w:t xml:space="preserve">考核对象：xxxx维保单位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考核时间： 202  年  月  日</w:t>
            </w:r>
          </w:p>
        </w:tc>
      </w:tr>
      <w:tr w14:paraId="66C8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716" w:type="dxa"/>
            <w:tcBorders>
              <w:top w:val="single" w:color="auto" w:sz="4" w:space="0"/>
              <w:left w:val="single" w:color="auto" w:sz="4" w:space="0"/>
              <w:bottom w:val="single" w:color="auto" w:sz="4" w:space="0"/>
              <w:right w:val="single" w:color="auto" w:sz="4" w:space="0"/>
            </w:tcBorders>
            <w:vAlign w:val="center"/>
          </w:tcPr>
          <w:p w14:paraId="01FCC2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序号</w:t>
            </w:r>
          </w:p>
        </w:tc>
        <w:tc>
          <w:tcPr>
            <w:tcW w:w="1384" w:type="dxa"/>
            <w:tcBorders>
              <w:top w:val="single" w:color="auto" w:sz="4" w:space="0"/>
              <w:left w:val="single" w:color="auto" w:sz="4" w:space="0"/>
              <w:bottom w:val="single" w:color="auto" w:sz="4" w:space="0"/>
              <w:right w:val="single" w:color="auto" w:sz="4" w:space="0"/>
            </w:tcBorders>
            <w:vAlign w:val="center"/>
          </w:tcPr>
          <w:p w14:paraId="587C4F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考核项</w:t>
            </w:r>
          </w:p>
        </w:tc>
        <w:tc>
          <w:tcPr>
            <w:tcW w:w="4375" w:type="dxa"/>
            <w:tcBorders>
              <w:top w:val="single" w:color="auto" w:sz="4" w:space="0"/>
              <w:left w:val="single" w:color="auto" w:sz="4" w:space="0"/>
              <w:bottom w:val="single" w:color="auto" w:sz="4" w:space="0"/>
              <w:right w:val="single" w:color="auto" w:sz="4" w:space="0"/>
            </w:tcBorders>
            <w:vAlign w:val="center"/>
          </w:tcPr>
          <w:p w14:paraId="510AB7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考核说明</w:t>
            </w:r>
          </w:p>
        </w:tc>
        <w:tc>
          <w:tcPr>
            <w:tcW w:w="869" w:type="dxa"/>
            <w:tcBorders>
              <w:top w:val="single" w:color="auto" w:sz="4" w:space="0"/>
              <w:left w:val="single" w:color="auto" w:sz="4" w:space="0"/>
              <w:bottom w:val="single" w:color="auto" w:sz="4" w:space="0"/>
              <w:right w:val="single" w:color="auto" w:sz="4" w:space="0"/>
            </w:tcBorders>
            <w:vAlign w:val="center"/>
          </w:tcPr>
          <w:p w14:paraId="34272C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分值</w:t>
            </w:r>
          </w:p>
        </w:tc>
        <w:tc>
          <w:tcPr>
            <w:tcW w:w="1178" w:type="dxa"/>
            <w:tcBorders>
              <w:top w:val="single" w:color="auto" w:sz="4" w:space="0"/>
              <w:left w:val="single" w:color="auto" w:sz="4" w:space="0"/>
              <w:bottom w:val="single" w:color="auto" w:sz="4" w:space="0"/>
              <w:right w:val="single" w:color="auto" w:sz="4" w:space="0"/>
            </w:tcBorders>
            <w:vAlign w:val="center"/>
          </w:tcPr>
          <w:p w14:paraId="0EA59B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考核得分</w:t>
            </w:r>
          </w:p>
        </w:tc>
      </w:tr>
      <w:tr w14:paraId="7663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jc w:val="center"/>
        </w:trPr>
        <w:tc>
          <w:tcPr>
            <w:tcW w:w="716" w:type="dxa"/>
            <w:tcBorders>
              <w:top w:val="single" w:color="auto" w:sz="4" w:space="0"/>
              <w:left w:val="single" w:color="auto" w:sz="4" w:space="0"/>
              <w:right w:val="single" w:color="auto" w:sz="4" w:space="0"/>
            </w:tcBorders>
            <w:vAlign w:val="center"/>
          </w:tcPr>
          <w:p w14:paraId="390D50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1</w:t>
            </w:r>
          </w:p>
        </w:tc>
        <w:tc>
          <w:tcPr>
            <w:tcW w:w="1384" w:type="dxa"/>
            <w:tcBorders>
              <w:top w:val="single" w:color="auto" w:sz="4" w:space="0"/>
              <w:left w:val="single" w:color="auto" w:sz="4" w:space="0"/>
              <w:right w:val="single" w:color="auto" w:sz="4" w:space="0"/>
            </w:tcBorders>
            <w:vAlign w:val="center"/>
          </w:tcPr>
          <w:p w14:paraId="20F5A1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文档资料</w:t>
            </w:r>
          </w:p>
        </w:tc>
        <w:tc>
          <w:tcPr>
            <w:tcW w:w="4375" w:type="dxa"/>
            <w:tcBorders>
              <w:top w:val="single" w:color="auto" w:sz="4" w:space="0"/>
              <w:left w:val="single" w:color="auto" w:sz="4" w:space="0"/>
              <w:right w:val="single" w:color="auto" w:sz="4" w:space="0"/>
            </w:tcBorders>
            <w:vAlign w:val="center"/>
          </w:tcPr>
          <w:p w14:paraId="23AE5D2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（1）各类维保文档提交的及时性</w:t>
            </w:r>
          </w:p>
          <w:p w14:paraId="01A4A04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（2）各类维保文档记录的准确度</w:t>
            </w:r>
          </w:p>
          <w:p w14:paraId="3AE3F2A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（3）各类维保文档记录的真实性</w:t>
            </w:r>
          </w:p>
        </w:tc>
        <w:tc>
          <w:tcPr>
            <w:tcW w:w="869" w:type="dxa"/>
            <w:tcBorders>
              <w:top w:val="single" w:color="auto" w:sz="4" w:space="0"/>
              <w:left w:val="single" w:color="auto" w:sz="4" w:space="0"/>
              <w:right w:val="single" w:color="auto" w:sz="4" w:space="0"/>
            </w:tcBorders>
            <w:vAlign w:val="center"/>
          </w:tcPr>
          <w:p w14:paraId="030EE8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20</w:t>
            </w:r>
          </w:p>
        </w:tc>
        <w:tc>
          <w:tcPr>
            <w:tcW w:w="1178" w:type="dxa"/>
            <w:tcBorders>
              <w:top w:val="single" w:color="auto" w:sz="4" w:space="0"/>
              <w:left w:val="single" w:color="auto" w:sz="4" w:space="0"/>
              <w:right w:val="single" w:color="auto" w:sz="4" w:space="0"/>
            </w:tcBorders>
            <w:vAlign w:val="center"/>
          </w:tcPr>
          <w:p w14:paraId="76E596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p>
        </w:tc>
      </w:tr>
      <w:tr w14:paraId="4E45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716" w:type="dxa"/>
            <w:tcBorders>
              <w:left w:val="single" w:color="auto" w:sz="4" w:space="0"/>
              <w:right w:val="single" w:color="auto" w:sz="4" w:space="0"/>
            </w:tcBorders>
            <w:vAlign w:val="center"/>
          </w:tcPr>
          <w:p w14:paraId="355DED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2</w:t>
            </w:r>
          </w:p>
        </w:tc>
        <w:tc>
          <w:tcPr>
            <w:tcW w:w="1384" w:type="dxa"/>
            <w:tcBorders>
              <w:top w:val="single" w:color="auto" w:sz="4" w:space="0"/>
              <w:left w:val="single" w:color="auto" w:sz="4" w:space="0"/>
              <w:right w:val="single" w:color="auto" w:sz="4" w:space="0"/>
            </w:tcBorders>
            <w:vAlign w:val="center"/>
          </w:tcPr>
          <w:p w14:paraId="1F93F1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设备及系统运行</w:t>
            </w:r>
          </w:p>
        </w:tc>
        <w:tc>
          <w:tcPr>
            <w:tcW w:w="4375" w:type="dxa"/>
            <w:tcBorders>
              <w:top w:val="single" w:color="auto" w:sz="4" w:space="0"/>
              <w:left w:val="single" w:color="auto" w:sz="4" w:space="0"/>
              <w:right w:val="single" w:color="auto" w:sz="4" w:space="0"/>
            </w:tcBorders>
            <w:vAlign w:val="center"/>
          </w:tcPr>
          <w:p w14:paraId="546EDE8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（1）设备运行抽样检查。对维保项目中涉及的各类设备进行抽样检查，正常率达到98%以上。</w:t>
            </w:r>
          </w:p>
          <w:p w14:paraId="3B70EAA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（2）后端数据库备份情况检查。车辆和人行数据完整性备份实现每7日备份一次，备份周期为3个月。</w:t>
            </w:r>
          </w:p>
          <w:p w14:paraId="0B8E172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（3）后端存储服务器、系统服务器、系统软件的运行情况检查，100%正常。单台存储故障硬盘不高于2块，所有存储故障硬盘不高于10块。</w:t>
            </w:r>
          </w:p>
        </w:tc>
        <w:tc>
          <w:tcPr>
            <w:tcW w:w="869" w:type="dxa"/>
            <w:tcBorders>
              <w:top w:val="single" w:color="auto" w:sz="4" w:space="0"/>
              <w:left w:val="single" w:color="auto" w:sz="4" w:space="0"/>
              <w:right w:val="single" w:color="auto" w:sz="4" w:space="0"/>
            </w:tcBorders>
            <w:vAlign w:val="center"/>
          </w:tcPr>
          <w:p w14:paraId="010C6C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25</w:t>
            </w:r>
          </w:p>
        </w:tc>
        <w:tc>
          <w:tcPr>
            <w:tcW w:w="1178" w:type="dxa"/>
            <w:tcBorders>
              <w:top w:val="single" w:color="auto" w:sz="4" w:space="0"/>
              <w:left w:val="single" w:color="auto" w:sz="4" w:space="0"/>
              <w:right w:val="single" w:color="auto" w:sz="4" w:space="0"/>
            </w:tcBorders>
            <w:vAlign w:val="center"/>
          </w:tcPr>
          <w:p w14:paraId="4903E1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p>
        </w:tc>
      </w:tr>
      <w:tr w14:paraId="464F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16" w:type="dxa"/>
            <w:tcBorders>
              <w:top w:val="single" w:color="auto" w:sz="4" w:space="0"/>
              <w:left w:val="single" w:color="auto" w:sz="4" w:space="0"/>
              <w:right w:val="single" w:color="auto" w:sz="4" w:space="0"/>
            </w:tcBorders>
            <w:vAlign w:val="center"/>
          </w:tcPr>
          <w:p w14:paraId="1D5675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3</w:t>
            </w:r>
          </w:p>
        </w:tc>
        <w:tc>
          <w:tcPr>
            <w:tcW w:w="1384" w:type="dxa"/>
            <w:tcBorders>
              <w:top w:val="single" w:color="auto" w:sz="4" w:space="0"/>
              <w:left w:val="single" w:color="auto" w:sz="4" w:space="0"/>
              <w:bottom w:val="single" w:color="auto" w:sz="4" w:space="0"/>
              <w:right w:val="single" w:color="auto" w:sz="4" w:space="0"/>
            </w:tcBorders>
            <w:vAlign w:val="center"/>
          </w:tcPr>
          <w:p w14:paraId="09E405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服务效能</w:t>
            </w:r>
          </w:p>
        </w:tc>
        <w:tc>
          <w:tcPr>
            <w:tcW w:w="4375" w:type="dxa"/>
            <w:tcBorders>
              <w:top w:val="single" w:color="auto" w:sz="4" w:space="0"/>
              <w:left w:val="single" w:color="auto" w:sz="4" w:space="0"/>
              <w:bottom w:val="single" w:color="auto" w:sz="4" w:space="0"/>
              <w:right w:val="single" w:color="auto" w:sz="4" w:space="0"/>
            </w:tcBorders>
            <w:vAlign w:val="center"/>
          </w:tcPr>
          <w:p w14:paraId="6D50402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（1）设备故障接报响应效能</w:t>
            </w:r>
          </w:p>
          <w:p w14:paraId="66239EE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（2）设备故障接报解决时效</w:t>
            </w:r>
          </w:p>
          <w:p w14:paraId="7AB02E8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（3）设备故障修复质量情况</w:t>
            </w:r>
          </w:p>
          <w:p w14:paraId="511836E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（4）安全保密和安全施工执行情况</w:t>
            </w:r>
          </w:p>
          <w:p w14:paraId="62A84F8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（5）应急服务情况</w:t>
            </w:r>
          </w:p>
          <w:p w14:paraId="4588174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（6）巡检工作质量情况（每2周，完成所有安防设备1次巡检任务，无遗漏）</w:t>
            </w:r>
          </w:p>
        </w:tc>
        <w:tc>
          <w:tcPr>
            <w:tcW w:w="869" w:type="dxa"/>
            <w:tcBorders>
              <w:top w:val="single" w:color="auto" w:sz="4" w:space="0"/>
              <w:left w:val="single" w:color="auto" w:sz="4" w:space="0"/>
              <w:bottom w:val="single" w:color="auto" w:sz="4" w:space="0"/>
              <w:right w:val="single" w:color="auto" w:sz="4" w:space="0"/>
            </w:tcBorders>
            <w:vAlign w:val="center"/>
          </w:tcPr>
          <w:p w14:paraId="2974D6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20</w:t>
            </w:r>
          </w:p>
        </w:tc>
        <w:tc>
          <w:tcPr>
            <w:tcW w:w="1178" w:type="dxa"/>
            <w:tcBorders>
              <w:top w:val="single" w:color="auto" w:sz="4" w:space="0"/>
              <w:left w:val="single" w:color="auto" w:sz="4" w:space="0"/>
              <w:bottom w:val="single" w:color="auto" w:sz="4" w:space="0"/>
              <w:right w:val="single" w:color="auto" w:sz="4" w:space="0"/>
            </w:tcBorders>
            <w:vAlign w:val="center"/>
          </w:tcPr>
          <w:p w14:paraId="0FC0F2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p>
        </w:tc>
      </w:tr>
      <w:tr w14:paraId="359F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16" w:type="dxa"/>
            <w:tcBorders>
              <w:left w:val="single" w:color="auto" w:sz="4" w:space="0"/>
              <w:right w:val="single" w:color="auto" w:sz="4" w:space="0"/>
            </w:tcBorders>
            <w:vAlign w:val="center"/>
          </w:tcPr>
          <w:p w14:paraId="3B08AB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4</w:t>
            </w:r>
          </w:p>
        </w:tc>
        <w:tc>
          <w:tcPr>
            <w:tcW w:w="1384" w:type="dxa"/>
            <w:tcBorders>
              <w:top w:val="single" w:color="auto" w:sz="4" w:space="0"/>
              <w:left w:val="single" w:color="auto" w:sz="4" w:space="0"/>
              <w:bottom w:val="single" w:color="auto" w:sz="4" w:space="0"/>
              <w:right w:val="single" w:color="auto" w:sz="4" w:space="0"/>
            </w:tcBorders>
            <w:vAlign w:val="center"/>
          </w:tcPr>
          <w:p w14:paraId="486B28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合同履约</w:t>
            </w:r>
          </w:p>
        </w:tc>
        <w:tc>
          <w:tcPr>
            <w:tcW w:w="4375" w:type="dxa"/>
            <w:tcBorders>
              <w:top w:val="single" w:color="auto" w:sz="4" w:space="0"/>
              <w:left w:val="single" w:color="auto" w:sz="4" w:space="0"/>
              <w:bottom w:val="single" w:color="auto" w:sz="4" w:space="0"/>
              <w:right w:val="single" w:color="auto" w:sz="4" w:space="0"/>
            </w:tcBorders>
            <w:vAlign w:val="center"/>
          </w:tcPr>
          <w:p w14:paraId="6615357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（1）人员出勤情况</w:t>
            </w:r>
          </w:p>
          <w:p w14:paraId="574612B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（2）仓储和办公场地使用和保洁情况</w:t>
            </w:r>
          </w:p>
          <w:p w14:paraId="63610F3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（3）备品备件储备情况</w:t>
            </w:r>
          </w:p>
          <w:p w14:paraId="1936DE2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（4）常用设备供货准确性和价格执行情况</w:t>
            </w:r>
          </w:p>
        </w:tc>
        <w:tc>
          <w:tcPr>
            <w:tcW w:w="869" w:type="dxa"/>
            <w:tcBorders>
              <w:top w:val="single" w:color="auto" w:sz="4" w:space="0"/>
              <w:left w:val="single" w:color="auto" w:sz="4" w:space="0"/>
              <w:bottom w:val="single" w:color="auto" w:sz="4" w:space="0"/>
              <w:right w:val="single" w:color="auto" w:sz="4" w:space="0"/>
            </w:tcBorders>
            <w:vAlign w:val="center"/>
          </w:tcPr>
          <w:p w14:paraId="714C21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20</w:t>
            </w:r>
          </w:p>
        </w:tc>
        <w:tc>
          <w:tcPr>
            <w:tcW w:w="1178" w:type="dxa"/>
            <w:tcBorders>
              <w:top w:val="single" w:color="auto" w:sz="4" w:space="0"/>
              <w:left w:val="single" w:color="auto" w:sz="4" w:space="0"/>
              <w:bottom w:val="single" w:color="auto" w:sz="4" w:space="0"/>
              <w:right w:val="single" w:color="auto" w:sz="4" w:space="0"/>
            </w:tcBorders>
            <w:vAlign w:val="center"/>
          </w:tcPr>
          <w:p w14:paraId="067F38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p>
        </w:tc>
      </w:tr>
      <w:tr w14:paraId="3FAE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16" w:type="dxa"/>
            <w:tcBorders>
              <w:left w:val="single" w:color="auto" w:sz="4" w:space="0"/>
              <w:right w:val="single" w:color="auto" w:sz="4" w:space="0"/>
            </w:tcBorders>
            <w:vAlign w:val="center"/>
          </w:tcPr>
          <w:p w14:paraId="1F0678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5</w:t>
            </w:r>
          </w:p>
        </w:tc>
        <w:tc>
          <w:tcPr>
            <w:tcW w:w="1384" w:type="dxa"/>
            <w:tcBorders>
              <w:top w:val="single" w:color="auto" w:sz="4" w:space="0"/>
              <w:left w:val="single" w:color="auto" w:sz="4" w:space="0"/>
              <w:bottom w:val="single" w:color="auto" w:sz="4" w:space="0"/>
              <w:right w:val="single" w:color="auto" w:sz="4" w:space="0"/>
            </w:tcBorders>
            <w:vAlign w:val="center"/>
          </w:tcPr>
          <w:p w14:paraId="751446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满意度</w:t>
            </w:r>
          </w:p>
        </w:tc>
        <w:tc>
          <w:tcPr>
            <w:tcW w:w="4375" w:type="dxa"/>
            <w:tcBorders>
              <w:top w:val="single" w:color="auto" w:sz="4" w:space="0"/>
              <w:left w:val="single" w:color="auto" w:sz="4" w:space="0"/>
              <w:bottom w:val="single" w:color="auto" w:sz="4" w:space="0"/>
              <w:right w:val="single" w:color="auto" w:sz="4" w:space="0"/>
            </w:tcBorders>
            <w:vAlign w:val="center"/>
          </w:tcPr>
          <w:p w14:paraId="55097B7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18"/>
                <w:szCs w:val="18"/>
              </w:rPr>
            </w:pPr>
            <w:r>
              <w:rPr>
                <w:rFonts w:hint="eastAsia" w:ascii="宋体" w:hAnsi="宋体" w:eastAsia="宋体" w:cs="宋体"/>
                <w:sz w:val="18"/>
                <w:szCs w:val="18"/>
              </w:rPr>
              <w:t>对维保人员的着装、服务态度、故障解决能力、与第三方的配合情况、应急抢修情况进行综合考核</w:t>
            </w:r>
          </w:p>
        </w:tc>
        <w:tc>
          <w:tcPr>
            <w:tcW w:w="869" w:type="dxa"/>
            <w:tcBorders>
              <w:top w:val="single" w:color="auto" w:sz="4" w:space="0"/>
              <w:left w:val="single" w:color="auto" w:sz="4" w:space="0"/>
              <w:bottom w:val="single" w:color="auto" w:sz="4" w:space="0"/>
              <w:right w:val="single" w:color="auto" w:sz="4" w:space="0"/>
            </w:tcBorders>
            <w:vAlign w:val="center"/>
          </w:tcPr>
          <w:p w14:paraId="247A76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15</w:t>
            </w:r>
          </w:p>
        </w:tc>
        <w:tc>
          <w:tcPr>
            <w:tcW w:w="1178" w:type="dxa"/>
            <w:tcBorders>
              <w:top w:val="single" w:color="auto" w:sz="4" w:space="0"/>
              <w:left w:val="single" w:color="auto" w:sz="4" w:space="0"/>
              <w:bottom w:val="single" w:color="auto" w:sz="4" w:space="0"/>
              <w:right w:val="single" w:color="auto" w:sz="4" w:space="0"/>
            </w:tcBorders>
            <w:vAlign w:val="center"/>
          </w:tcPr>
          <w:p w14:paraId="79E1E5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p>
        </w:tc>
      </w:tr>
      <w:tr w14:paraId="42D3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475" w:type="dxa"/>
            <w:gridSpan w:val="3"/>
            <w:tcBorders>
              <w:left w:val="single" w:color="auto" w:sz="4" w:space="0"/>
              <w:right w:val="single" w:color="auto" w:sz="4" w:space="0"/>
            </w:tcBorders>
            <w:vAlign w:val="center"/>
          </w:tcPr>
          <w:p w14:paraId="751BD6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合计</w:t>
            </w:r>
          </w:p>
        </w:tc>
        <w:tc>
          <w:tcPr>
            <w:tcW w:w="869" w:type="dxa"/>
            <w:tcBorders>
              <w:top w:val="single" w:color="auto" w:sz="4" w:space="0"/>
              <w:left w:val="single" w:color="auto" w:sz="4" w:space="0"/>
              <w:bottom w:val="single" w:color="auto" w:sz="4" w:space="0"/>
              <w:right w:val="single" w:color="auto" w:sz="4" w:space="0"/>
            </w:tcBorders>
            <w:vAlign w:val="center"/>
          </w:tcPr>
          <w:p w14:paraId="5091B7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100</w:t>
            </w:r>
          </w:p>
        </w:tc>
        <w:tc>
          <w:tcPr>
            <w:tcW w:w="1178" w:type="dxa"/>
            <w:tcBorders>
              <w:top w:val="single" w:color="auto" w:sz="4" w:space="0"/>
              <w:left w:val="single" w:color="auto" w:sz="4" w:space="0"/>
              <w:bottom w:val="single" w:color="auto" w:sz="4" w:space="0"/>
              <w:right w:val="single" w:color="auto" w:sz="4" w:space="0"/>
            </w:tcBorders>
            <w:vAlign w:val="center"/>
          </w:tcPr>
          <w:p w14:paraId="2FFD0B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p>
        </w:tc>
      </w:tr>
      <w:tr w14:paraId="2C95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8522" w:type="dxa"/>
            <w:gridSpan w:val="5"/>
            <w:tcBorders>
              <w:left w:val="single" w:color="auto" w:sz="4" w:space="0"/>
              <w:right w:val="single" w:color="auto" w:sz="4" w:space="0"/>
            </w:tcBorders>
            <w:vAlign w:val="center"/>
          </w:tcPr>
          <w:p w14:paraId="09AD3C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考核结论</w:t>
            </w:r>
          </w:p>
        </w:tc>
      </w:tr>
      <w:tr w14:paraId="0972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522" w:type="dxa"/>
            <w:gridSpan w:val="5"/>
            <w:tcBorders>
              <w:left w:val="single" w:color="auto" w:sz="4" w:space="0"/>
              <w:right w:val="single" w:color="auto" w:sz="4" w:space="0"/>
            </w:tcBorders>
            <w:vAlign w:val="center"/>
          </w:tcPr>
          <w:p w14:paraId="62B35F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p>
          <w:p w14:paraId="3814A0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p>
          <w:p w14:paraId="79C6E2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p>
        </w:tc>
      </w:tr>
      <w:tr w14:paraId="4022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8522" w:type="dxa"/>
            <w:gridSpan w:val="5"/>
            <w:tcBorders>
              <w:left w:val="single" w:color="auto" w:sz="4" w:space="0"/>
              <w:right w:val="single" w:color="auto" w:sz="4" w:space="0"/>
            </w:tcBorders>
            <w:vAlign w:val="center"/>
          </w:tcPr>
          <w:p w14:paraId="74CBAC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管理部门考核人员签字：                管理部门负责人签字：</w:t>
            </w:r>
          </w:p>
        </w:tc>
      </w:tr>
    </w:tbl>
    <w:p w14:paraId="30E11E2E">
      <w:pPr>
        <w:pStyle w:val="2"/>
        <w:rPr>
          <w:rFonts w:hint="eastAsia"/>
          <w:lang w:eastAsia="zh-CN"/>
        </w:rPr>
      </w:pPr>
    </w:p>
    <w:p w14:paraId="77BB913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（八）备品备件要求</w:t>
      </w:r>
    </w:p>
    <w:p w14:paraId="3A048F1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备品备件产品性能和数量要求不低于“备品备件清单”所列要求。备品备件于合同签订2周内存放于学校指定场所，存放周期为整个合同履约期，学校不定期抽查，若按期未按规定履约，学校有权立即终止合同。</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069"/>
        <w:gridCol w:w="5372"/>
        <w:gridCol w:w="612"/>
        <w:gridCol w:w="479"/>
        <w:gridCol w:w="522"/>
      </w:tblGrid>
      <w:tr w14:paraId="49B4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6"/>
            <w:vAlign w:val="center"/>
          </w:tcPr>
          <w:p w14:paraId="735F1613">
            <w:pPr>
              <w:jc w:val="center"/>
              <w:rPr>
                <w:rFonts w:hint="eastAsia"/>
                <w:vertAlign w:val="baseline"/>
                <w:lang w:eastAsia="zh-CN"/>
              </w:rPr>
            </w:pPr>
            <w:r>
              <w:rPr>
                <w:rFonts w:hint="eastAsia" w:ascii="宋体" w:hAnsi="宋体" w:eastAsia="宋体" w:cs="宋体"/>
                <w:sz w:val="24"/>
                <w:szCs w:val="24"/>
                <w:lang w:eastAsia="zh-CN"/>
              </w:rPr>
              <w:t>备品备件清单</w:t>
            </w:r>
          </w:p>
        </w:tc>
      </w:tr>
      <w:tr w14:paraId="6A0D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shd w:val="clear" w:color="auto" w:fill="auto"/>
            <w:vAlign w:val="center"/>
          </w:tcPr>
          <w:p w14:paraId="6A306B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序号</w:t>
            </w:r>
          </w:p>
        </w:tc>
        <w:tc>
          <w:tcPr>
            <w:tcW w:w="1069" w:type="dxa"/>
            <w:shd w:val="clear" w:color="auto" w:fill="auto"/>
            <w:vAlign w:val="center"/>
          </w:tcPr>
          <w:p w14:paraId="1D33CB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名称</w:t>
            </w:r>
          </w:p>
        </w:tc>
        <w:tc>
          <w:tcPr>
            <w:tcW w:w="5372" w:type="dxa"/>
            <w:shd w:val="clear" w:color="auto" w:fill="auto"/>
            <w:vAlign w:val="center"/>
          </w:tcPr>
          <w:p w14:paraId="18989D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参数</w:t>
            </w:r>
          </w:p>
        </w:tc>
        <w:tc>
          <w:tcPr>
            <w:tcW w:w="612" w:type="dxa"/>
            <w:shd w:val="clear" w:color="auto" w:fill="auto"/>
            <w:vAlign w:val="center"/>
          </w:tcPr>
          <w:p w14:paraId="533F61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品牌型号</w:t>
            </w:r>
          </w:p>
        </w:tc>
        <w:tc>
          <w:tcPr>
            <w:tcW w:w="479" w:type="dxa"/>
            <w:shd w:val="clear" w:color="auto" w:fill="auto"/>
            <w:vAlign w:val="center"/>
          </w:tcPr>
          <w:p w14:paraId="1C31AC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单位</w:t>
            </w:r>
          </w:p>
        </w:tc>
        <w:tc>
          <w:tcPr>
            <w:tcW w:w="522" w:type="dxa"/>
            <w:shd w:val="clear" w:color="auto" w:fill="auto"/>
            <w:vAlign w:val="center"/>
          </w:tcPr>
          <w:p w14:paraId="66C6C4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数量</w:t>
            </w:r>
          </w:p>
        </w:tc>
      </w:tr>
      <w:tr w14:paraId="047E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00D6156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9" w:type="dxa"/>
            <w:vAlign w:val="center"/>
          </w:tcPr>
          <w:p w14:paraId="5FEA5F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▲400W（POE）全彩枪机</w:t>
            </w:r>
          </w:p>
        </w:tc>
        <w:tc>
          <w:tcPr>
            <w:tcW w:w="5372" w:type="dxa"/>
            <w:vMerge w:val="restart"/>
            <w:vAlign w:val="center"/>
          </w:tcPr>
          <w:p w14:paraId="608F227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▲智能动态检测（SMD）功能检验：支持对人、机动车、全部（人或机动车）进行检测，当小狗、树叶等非人或车辆目标经过检测区域时，不会触发报警（提供第三方检测机构出具的封面具有CMA标识的检测报告）</w:t>
            </w:r>
          </w:p>
          <w:p w14:paraId="59B32E5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▲智能行为分析功能检验：当以下的智能分析行为达到设定的阈值时，可通过客户端软件或IE浏览器给出报警提示；</w:t>
            </w:r>
          </w:p>
          <w:p w14:paraId="14DEC23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a）绊线入侵；</w:t>
            </w:r>
          </w:p>
          <w:p w14:paraId="3CFC745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b）区域入侵；</w:t>
            </w:r>
          </w:p>
          <w:p w14:paraId="6E40AB8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设备支持行为分析触发后联动抓图、录像、目标跟踪、报警上传、发送邮件等多种报警触发方式；设备支持设置6组智能周界规则并进行独立布防，每组的布撤防时间可单独设置，目标在布防区域和布防时间段内出现会触发报警，并联动相关操作；</w:t>
            </w:r>
          </w:p>
          <w:p w14:paraId="6EAE87A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可以对人、机动车、全部（人或机动车）进行检测；</w:t>
            </w:r>
          </w:p>
          <w:p w14:paraId="45634A0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支持对智能行为分析目标方向规则进行设置，可设置方向为A-&gt;B、B-&gt;A、A&lt;-&gt;B3种规则；</w:t>
            </w:r>
          </w:p>
          <w:p w14:paraId="3752E68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支持灵敏度设置0~10;</w:t>
            </w:r>
          </w:p>
          <w:p w14:paraId="07354E7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当小动物、灯光、树叶、气球等非人或机动车目标经过检测区域时，不会触发报警；可对目标大小（像素值）范围进行设置，使设备只对预设大小（像素值）范围内的人员及机动车辆进行检测（提供第三方检测机构出具的封面具有CMA标识的检测报告）</w:t>
            </w:r>
          </w:p>
        </w:tc>
        <w:tc>
          <w:tcPr>
            <w:tcW w:w="612" w:type="dxa"/>
            <w:vAlign w:val="center"/>
          </w:tcPr>
          <w:p w14:paraId="231CCA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6F5E75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rPr>
              <w:t>个</w:t>
            </w:r>
          </w:p>
        </w:tc>
        <w:tc>
          <w:tcPr>
            <w:tcW w:w="522" w:type="dxa"/>
            <w:vAlign w:val="center"/>
          </w:tcPr>
          <w:p w14:paraId="519A27B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r>
      <w:tr w14:paraId="0488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39D8542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069" w:type="dxa"/>
            <w:vAlign w:val="center"/>
          </w:tcPr>
          <w:p w14:paraId="272B06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▲400W（POE）全彩半球</w:t>
            </w:r>
          </w:p>
        </w:tc>
        <w:tc>
          <w:tcPr>
            <w:tcW w:w="5372" w:type="dxa"/>
            <w:vMerge w:val="continue"/>
            <w:vAlign w:val="center"/>
          </w:tcPr>
          <w:p w14:paraId="7E55A32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12" w:type="dxa"/>
            <w:vAlign w:val="center"/>
          </w:tcPr>
          <w:p w14:paraId="1E3836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0C16E1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rPr>
              <w:t>个</w:t>
            </w:r>
          </w:p>
        </w:tc>
        <w:tc>
          <w:tcPr>
            <w:tcW w:w="522" w:type="dxa"/>
            <w:vAlign w:val="center"/>
          </w:tcPr>
          <w:p w14:paraId="12E0AA0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r>
      <w:tr w14:paraId="533B6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1718401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069" w:type="dxa"/>
            <w:vAlign w:val="center"/>
          </w:tcPr>
          <w:p w14:paraId="6EBD4B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▲400W电梯专用半球</w:t>
            </w:r>
          </w:p>
        </w:tc>
        <w:tc>
          <w:tcPr>
            <w:tcW w:w="5372" w:type="dxa"/>
            <w:vAlign w:val="center"/>
          </w:tcPr>
          <w:p w14:paraId="67A4EA8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当设备镜头被遮挡时可给出报警提示并联动语音报警和白光警戒，遮挡比例可设置；支持内置语音播放，播放次数可设置为1～10次；可将白光设置为常亮和闪烁2种模式，闪烁频率、闪烁时长、闪烁周期可设（提供第三方检测机构出具的封面具有CMA标识的检测报告）</w:t>
            </w:r>
          </w:p>
        </w:tc>
        <w:tc>
          <w:tcPr>
            <w:tcW w:w="612" w:type="dxa"/>
            <w:vAlign w:val="center"/>
          </w:tcPr>
          <w:p w14:paraId="55C3F9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7C30F8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rPr>
              <w:t>个</w:t>
            </w:r>
          </w:p>
        </w:tc>
        <w:tc>
          <w:tcPr>
            <w:tcW w:w="522" w:type="dxa"/>
            <w:vAlign w:val="center"/>
          </w:tcPr>
          <w:p w14:paraId="44327BE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14:paraId="3433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354AD60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069" w:type="dxa"/>
            <w:vAlign w:val="center"/>
          </w:tcPr>
          <w:p w14:paraId="30F4EB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400W警戒摄像机</w:t>
            </w:r>
          </w:p>
        </w:tc>
        <w:tc>
          <w:tcPr>
            <w:tcW w:w="5372" w:type="dxa"/>
            <w:vAlign w:val="center"/>
          </w:tcPr>
          <w:p w14:paraId="1F74F17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周界防范：绊线入侵；区域入侵；徘徊检测；人员聚集；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报警事件：网络断开；IP冲突；非法访问；动态检测；视频遮挡；绊线入侵；区域入侵；徘徊检测；人员聚集；音频异常侦测；电压检测；SMD；安全异常；</w:t>
            </w:r>
          </w:p>
        </w:tc>
        <w:tc>
          <w:tcPr>
            <w:tcW w:w="612" w:type="dxa"/>
            <w:vAlign w:val="center"/>
          </w:tcPr>
          <w:p w14:paraId="36D507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4725C5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rPr>
              <w:t>个</w:t>
            </w:r>
          </w:p>
        </w:tc>
        <w:tc>
          <w:tcPr>
            <w:tcW w:w="522" w:type="dxa"/>
            <w:vAlign w:val="center"/>
          </w:tcPr>
          <w:p w14:paraId="64944D5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0709E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176BCA1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069" w:type="dxa"/>
            <w:vAlign w:val="center"/>
          </w:tcPr>
          <w:p w14:paraId="63706F4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▲双目拼接雷达枪</w:t>
            </w:r>
          </w:p>
        </w:tc>
        <w:tc>
          <w:tcPr>
            <w:tcW w:w="5372" w:type="dxa"/>
            <w:vAlign w:val="center"/>
          </w:tcPr>
          <w:p w14:paraId="7569370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▲可通过浏览器设置将画面分为 1+1、1+3、1+5等多种分屏方式显示，子显示画面可进行任意大小、位置调节（提供第三方检测机构出具的封面具有CMA标识的检测报告）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▲分WEB界面可显示雷达画面；支持雷达路和视频路通过目标人物的位置进行手动标定（提供第三方检测机构出具的封面具有CMA标识的检测报告）</w:t>
            </w:r>
          </w:p>
        </w:tc>
        <w:tc>
          <w:tcPr>
            <w:tcW w:w="612" w:type="dxa"/>
            <w:vAlign w:val="center"/>
          </w:tcPr>
          <w:p w14:paraId="6C60A6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39699B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rPr>
              <w:t>个</w:t>
            </w:r>
          </w:p>
        </w:tc>
        <w:tc>
          <w:tcPr>
            <w:tcW w:w="522" w:type="dxa"/>
            <w:vAlign w:val="center"/>
          </w:tcPr>
          <w:p w14:paraId="37BAA8D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6B90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2CC8C31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069" w:type="dxa"/>
            <w:vAlign w:val="center"/>
          </w:tcPr>
          <w:p w14:paraId="337075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电梯专用网桥</w:t>
            </w:r>
          </w:p>
        </w:tc>
        <w:tc>
          <w:tcPr>
            <w:tcW w:w="5372" w:type="dxa"/>
            <w:vAlign w:val="center"/>
          </w:tcPr>
          <w:p w14:paraId="4F94F40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自动桥接设计、双供电模式</w:t>
            </w:r>
          </w:p>
        </w:tc>
        <w:tc>
          <w:tcPr>
            <w:tcW w:w="612" w:type="dxa"/>
            <w:vAlign w:val="center"/>
          </w:tcPr>
          <w:p w14:paraId="69DE9C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686872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对</w:t>
            </w:r>
          </w:p>
        </w:tc>
        <w:tc>
          <w:tcPr>
            <w:tcW w:w="522" w:type="dxa"/>
            <w:vAlign w:val="center"/>
          </w:tcPr>
          <w:p w14:paraId="500BCA0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6CAA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34EFF90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1069" w:type="dxa"/>
            <w:vAlign w:val="center"/>
          </w:tcPr>
          <w:p w14:paraId="5A4705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8口千兆光纤网络非POE交换机</w:t>
            </w:r>
          </w:p>
        </w:tc>
        <w:tc>
          <w:tcPr>
            <w:tcW w:w="5372" w:type="dxa"/>
            <w:vAlign w:val="center"/>
          </w:tcPr>
          <w:p w14:paraId="04516A0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8个千兆电口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电口速率 10/100/1000Mbps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业务端口/槽位描述 Port 1-8: 8× RJ-45 10/100/1000Mbps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供电方式 外置电源适配器：5 VDC,0.8A</w:t>
            </w:r>
          </w:p>
        </w:tc>
        <w:tc>
          <w:tcPr>
            <w:tcW w:w="612" w:type="dxa"/>
            <w:vAlign w:val="center"/>
          </w:tcPr>
          <w:p w14:paraId="62245B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15E568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522" w:type="dxa"/>
            <w:vAlign w:val="center"/>
          </w:tcPr>
          <w:p w14:paraId="00FED3C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14:paraId="1B71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663B29F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1069" w:type="dxa"/>
            <w:vAlign w:val="center"/>
          </w:tcPr>
          <w:p w14:paraId="151F02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8口千兆光纤网络POE交换机</w:t>
            </w:r>
          </w:p>
        </w:tc>
        <w:tc>
          <w:tcPr>
            <w:tcW w:w="5372" w:type="dxa"/>
            <w:vAlign w:val="center"/>
          </w:tcPr>
          <w:p w14:paraId="0AEA42B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8个RJ-45 10/100/1000Mbps，2个SFP 1/2.5Gbps；无网管，即插即用，简化工程施工部署；全千兆端口设计，保障实时传输，视频流畅；支持IEEE802.3af，IEEE802.3at标准；支持PoE看门狗；支持长距离传输模式；采用全金属无风扇设计，具有高效的机壳表面散热能力；支持桌面式安装/壁挂式安装</w:t>
            </w:r>
          </w:p>
        </w:tc>
        <w:tc>
          <w:tcPr>
            <w:tcW w:w="612" w:type="dxa"/>
            <w:vAlign w:val="center"/>
          </w:tcPr>
          <w:p w14:paraId="112739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099901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522" w:type="dxa"/>
            <w:vAlign w:val="center"/>
          </w:tcPr>
          <w:p w14:paraId="1615038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14:paraId="59BC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430A64C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1069" w:type="dxa"/>
            <w:vAlign w:val="center"/>
          </w:tcPr>
          <w:p w14:paraId="5FDBF7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24口千兆POE交换机</w:t>
            </w:r>
          </w:p>
        </w:tc>
        <w:tc>
          <w:tcPr>
            <w:tcW w:w="5372" w:type="dxa"/>
            <w:vAlign w:val="center"/>
          </w:tcPr>
          <w:p w14:paraId="20340E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26个RJ-45 10/100/1000 Mbps，2个SFP 100/1000 Mbps；无网管，即插即用，简化工程施工部署；全千兆端口设计，保障实时传输，视频流畅；支持IEEE802.3af，IEEE802.3at，Hi-PoE，IEEE802.3bt标准；支持PoE看门狗；支持长距离传输模式；采用全金属设计，具有高效的机壳表面散热能力； EMC高防护防雷设计； -10℃～+55℃宽温设计支持桌面式安装/机架式安装</w:t>
            </w:r>
          </w:p>
        </w:tc>
        <w:tc>
          <w:tcPr>
            <w:tcW w:w="612" w:type="dxa"/>
            <w:vAlign w:val="center"/>
          </w:tcPr>
          <w:p w14:paraId="2B4BC6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4FA7E7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522" w:type="dxa"/>
            <w:vAlign w:val="center"/>
          </w:tcPr>
          <w:p w14:paraId="2A8DC9E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14:paraId="7B6E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6806F68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069" w:type="dxa"/>
            <w:vAlign w:val="center"/>
          </w:tcPr>
          <w:p w14:paraId="7D3968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摄像机电源</w:t>
            </w:r>
          </w:p>
        </w:tc>
        <w:tc>
          <w:tcPr>
            <w:tcW w:w="5372" w:type="dxa"/>
            <w:vAlign w:val="center"/>
          </w:tcPr>
          <w:p w14:paraId="0933A12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12V2A监控电源</w:t>
            </w:r>
          </w:p>
        </w:tc>
        <w:tc>
          <w:tcPr>
            <w:tcW w:w="612" w:type="dxa"/>
            <w:vAlign w:val="center"/>
          </w:tcPr>
          <w:p w14:paraId="48F7A8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338A67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522" w:type="dxa"/>
            <w:vAlign w:val="center"/>
          </w:tcPr>
          <w:p w14:paraId="3863237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r>
      <w:tr w14:paraId="6CCE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468" w:type="dxa"/>
            <w:vAlign w:val="center"/>
          </w:tcPr>
          <w:p w14:paraId="48D9B08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1069" w:type="dxa"/>
            <w:vAlign w:val="center"/>
          </w:tcPr>
          <w:p w14:paraId="6C8374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摄像机支架</w:t>
            </w:r>
          </w:p>
        </w:tc>
        <w:tc>
          <w:tcPr>
            <w:tcW w:w="5372" w:type="dxa"/>
            <w:vAlign w:val="center"/>
          </w:tcPr>
          <w:p w14:paraId="36492C4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国标定制</w:t>
            </w:r>
          </w:p>
        </w:tc>
        <w:tc>
          <w:tcPr>
            <w:tcW w:w="612" w:type="dxa"/>
            <w:vAlign w:val="center"/>
          </w:tcPr>
          <w:p w14:paraId="0DE3A4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18ED7C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522" w:type="dxa"/>
            <w:vAlign w:val="center"/>
          </w:tcPr>
          <w:p w14:paraId="06B6A19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r>
      <w:tr w14:paraId="07F5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6140AAB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1069" w:type="dxa"/>
            <w:vAlign w:val="center"/>
          </w:tcPr>
          <w:p w14:paraId="74BA16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室外不锈钢防水箱</w:t>
            </w:r>
          </w:p>
        </w:tc>
        <w:tc>
          <w:tcPr>
            <w:tcW w:w="5372" w:type="dxa"/>
            <w:vAlign w:val="center"/>
          </w:tcPr>
          <w:p w14:paraId="4ACDDE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300*400*180</w:t>
            </w:r>
          </w:p>
        </w:tc>
        <w:tc>
          <w:tcPr>
            <w:tcW w:w="612" w:type="dxa"/>
            <w:vAlign w:val="center"/>
          </w:tcPr>
          <w:p w14:paraId="341C05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6F2337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522" w:type="dxa"/>
            <w:vAlign w:val="center"/>
          </w:tcPr>
          <w:p w14:paraId="70328CC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14:paraId="75B0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53D103C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1069" w:type="dxa"/>
            <w:vAlign w:val="center"/>
          </w:tcPr>
          <w:p w14:paraId="19A798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定制挑臂支架0.6-1.5米</w:t>
            </w:r>
          </w:p>
        </w:tc>
        <w:tc>
          <w:tcPr>
            <w:tcW w:w="5372" w:type="dxa"/>
            <w:vAlign w:val="center"/>
          </w:tcPr>
          <w:p w14:paraId="324A984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定制长度60-150cm之间，结合现场实际情况定制</w:t>
            </w:r>
          </w:p>
        </w:tc>
        <w:tc>
          <w:tcPr>
            <w:tcW w:w="612" w:type="dxa"/>
            <w:vAlign w:val="center"/>
          </w:tcPr>
          <w:p w14:paraId="449AC2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16762A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w:t>
            </w:r>
          </w:p>
        </w:tc>
        <w:tc>
          <w:tcPr>
            <w:tcW w:w="522" w:type="dxa"/>
            <w:vAlign w:val="center"/>
          </w:tcPr>
          <w:p w14:paraId="414C1D6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r>
      <w:tr w14:paraId="5DA9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68CF989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1069" w:type="dxa"/>
            <w:vAlign w:val="center"/>
          </w:tcPr>
          <w:p w14:paraId="5FC829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六类双绞线</w:t>
            </w:r>
          </w:p>
        </w:tc>
        <w:tc>
          <w:tcPr>
            <w:tcW w:w="5372" w:type="dxa"/>
            <w:vAlign w:val="center"/>
          </w:tcPr>
          <w:p w14:paraId="4A67E70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1.抗拉、抗扭、耐磨、防水、撕裂绳自剥皮线缆设计特性，减少线缆安装过程中的各种潜在风险。 2.通过福禄克测试。 3.CAT6 传输带宽250MHZ，推荐用于千兆传输。 4.导体采用无氧铜，符合国家标准：GB/T3953，传输衰减小、延时低。 5.阻燃性能符合国家标准：GB/T 18380.22。 6.绿色环保，所用材料均符合RoHS。 7.线缆长度305米/箱。</w:t>
            </w:r>
          </w:p>
        </w:tc>
        <w:tc>
          <w:tcPr>
            <w:tcW w:w="612" w:type="dxa"/>
            <w:vAlign w:val="center"/>
          </w:tcPr>
          <w:p w14:paraId="2EDAAF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0EC6D7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w:t>
            </w:r>
          </w:p>
        </w:tc>
        <w:tc>
          <w:tcPr>
            <w:tcW w:w="522" w:type="dxa"/>
            <w:vAlign w:val="center"/>
          </w:tcPr>
          <w:p w14:paraId="5AD6434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r>
      <w:tr w14:paraId="57B3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4BCFFCA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069" w:type="dxa"/>
            <w:vAlign w:val="center"/>
          </w:tcPr>
          <w:p w14:paraId="28C5BC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阻燃波纹套管</w:t>
            </w:r>
          </w:p>
        </w:tc>
        <w:tc>
          <w:tcPr>
            <w:tcW w:w="5372" w:type="dxa"/>
            <w:vAlign w:val="center"/>
          </w:tcPr>
          <w:p w14:paraId="5A57E5D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PE聚乙烯，工作温度：30℃~100℃</w:t>
            </w:r>
          </w:p>
        </w:tc>
        <w:tc>
          <w:tcPr>
            <w:tcW w:w="612" w:type="dxa"/>
            <w:vAlign w:val="center"/>
          </w:tcPr>
          <w:p w14:paraId="18AB13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297DB6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米</w:t>
            </w:r>
          </w:p>
        </w:tc>
        <w:tc>
          <w:tcPr>
            <w:tcW w:w="522" w:type="dxa"/>
            <w:vAlign w:val="center"/>
          </w:tcPr>
          <w:p w14:paraId="4D51BD8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r>
      <w:tr w14:paraId="7156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241B6CA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1069" w:type="dxa"/>
            <w:vAlign w:val="center"/>
          </w:tcPr>
          <w:p w14:paraId="6734D7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电力电缆RVV2*1</w:t>
            </w:r>
          </w:p>
        </w:tc>
        <w:tc>
          <w:tcPr>
            <w:tcW w:w="5372" w:type="dxa"/>
            <w:vAlign w:val="center"/>
          </w:tcPr>
          <w:p w14:paraId="3A419A3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满足国标RVV2*1</w:t>
            </w:r>
          </w:p>
        </w:tc>
        <w:tc>
          <w:tcPr>
            <w:tcW w:w="612" w:type="dxa"/>
            <w:vAlign w:val="center"/>
          </w:tcPr>
          <w:p w14:paraId="3CA492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4DC29C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米</w:t>
            </w:r>
          </w:p>
        </w:tc>
        <w:tc>
          <w:tcPr>
            <w:tcW w:w="522" w:type="dxa"/>
            <w:vAlign w:val="center"/>
          </w:tcPr>
          <w:p w14:paraId="3A9339C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w:t>
            </w:r>
          </w:p>
        </w:tc>
      </w:tr>
      <w:tr w14:paraId="35B2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608BD75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1069" w:type="dxa"/>
            <w:vAlign w:val="center"/>
          </w:tcPr>
          <w:p w14:paraId="23F107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千兆光纤收发器</w:t>
            </w:r>
          </w:p>
        </w:tc>
        <w:tc>
          <w:tcPr>
            <w:tcW w:w="5372" w:type="dxa"/>
            <w:vAlign w:val="center"/>
          </w:tcPr>
          <w:p w14:paraId="6D92AE7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4个千兆电口、2个光口、4个DC口</w:t>
            </w:r>
          </w:p>
        </w:tc>
        <w:tc>
          <w:tcPr>
            <w:tcW w:w="612" w:type="dxa"/>
            <w:vAlign w:val="center"/>
          </w:tcPr>
          <w:p w14:paraId="4FE6E9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0E31E6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对</w:t>
            </w:r>
          </w:p>
        </w:tc>
        <w:tc>
          <w:tcPr>
            <w:tcW w:w="522" w:type="dxa"/>
            <w:vAlign w:val="center"/>
          </w:tcPr>
          <w:p w14:paraId="148C581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r>
      <w:tr w14:paraId="6B04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64B63E6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1069" w:type="dxa"/>
            <w:shd w:val="clear" w:color="auto" w:fill="auto"/>
            <w:vAlign w:val="center"/>
          </w:tcPr>
          <w:p w14:paraId="11987042">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highlight w:val="none"/>
                <w:u w:val="none"/>
                <w:lang w:val="en-US" w:eastAsia="zh-CN" w:bidi="ar-SA"/>
              </w:rPr>
            </w:pPr>
            <w:r>
              <w:rPr>
                <w:rFonts w:hint="eastAsia" w:ascii="宋体" w:hAnsi="宋体" w:eastAsia="宋体" w:cs="宋体"/>
                <w:b w:val="0"/>
                <w:bCs w:val="0"/>
                <w:i w:val="0"/>
                <w:iCs w:val="0"/>
                <w:color w:val="auto"/>
                <w:kern w:val="0"/>
                <w:sz w:val="18"/>
                <w:szCs w:val="18"/>
                <w:highlight w:val="none"/>
                <w:u w:val="none"/>
                <w:lang w:val="en-US" w:eastAsia="zh-CN" w:bidi="ar"/>
              </w:rPr>
              <w:t>网络视频存储服务器</w:t>
            </w:r>
          </w:p>
        </w:tc>
        <w:tc>
          <w:tcPr>
            <w:tcW w:w="5372" w:type="dxa"/>
            <w:shd w:val="clear" w:color="auto" w:fill="auto"/>
            <w:vAlign w:val="center"/>
          </w:tcPr>
          <w:p w14:paraId="2B42AB47">
            <w:pPr>
              <w:keepNext w:val="0"/>
              <w:keepLines w:val="0"/>
              <w:widowControl/>
              <w:suppressLineNumbers w:val="0"/>
              <w:jc w:val="left"/>
              <w:textAlignment w:val="center"/>
              <w:rPr>
                <w:rFonts w:hint="eastAsia" w:ascii="宋体" w:hAnsi="宋体" w:eastAsia="宋体" w:cs="宋体"/>
                <w:b w:val="0"/>
                <w:bCs w:val="0"/>
                <w:i w:val="0"/>
                <w:iCs w:val="0"/>
                <w:color w:val="auto"/>
                <w:kern w:val="2"/>
                <w:sz w:val="18"/>
                <w:szCs w:val="18"/>
                <w:highlight w:val="none"/>
                <w:u w:val="none"/>
                <w:lang w:val="en-US" w:eastAsia="zh-CN" w:bidi="ar-SA"/>
              </w:rPr>
            </w:pPr>
            <w:r>
              <w:rPr>
                <w:rFonts w:hint="eastAsia" w:ascii="宋体" w:hAnsi="宋体" w:eastAsia="宋体" w:cs="宋体"/>
                <w:b w:val="0"/>
                <w:bCs w:val="0"/>
                <w:i w:val="0"/>
                <w:iCs w:val="0"/>
                <w:color w:val="auto"/>
                <w:kern w:val="2"/>
                <w:sz w:val="18"/>
                <w:szCs w:val="18"/>
                <w:highlight w:val="none"/>
                <w:u w:val="none"/>
                <w:lang w:val="en-US" w:eastAsia="zh-CN" w:bidi="ar-SA"/>
              </w:rPr>
              <w:t>1.单颗64位多核高性能处理器，默认2个内存条，共8GB内存，可扩展至2个内存条，64GB内存；</w:t>
            </w:r>
          </w:p>
          <w:p w14:paraId="2D0B3660">
            <w:pPr>
              <w:keepNext w:val="0"/>
              <w:keepLines w:val="0"/>
              <w:widowControl/>
              <w:suppressLineNumbers w:val="0"/>
              <w:jc w:val="left"/>
              <w:textAlignment w:val="center"/>
              <w:rPr>
                <w:rFonts w:hint="eastAsia" w:ascii="宋体" w:hAnsi="宋体" w:eastAsia="宋体" w:cs="宋体"/>
                <w:b w:val="0"/>
                <w:bCs w:val="0"/>
                <w:i w:val="0"/>
                <w:iCs w:val="0"/>
                <w:color w:val="auto"/>
                <w:kern w:val="2"/>
                <w:sz w:val="18"/>
                <w:szCs w:val="18"/>
                <w:highlight w:val="none"/>
                <w:u w:val="none"/>
                <w:lang w:val="en-US" w:eastAsia="zh-CN" w:bidi="ar-SA"/>
              </w:rPr>
            </w:pPr>
            <w:r>
              <w:rPr>
                <w:rFonts w:hint="eastAsia" w:ascii="宋体" w:hAnsi="宋体" w:eastAsia="宋体" w:cs="宋体"/>
                <w:b w:val="0"/>
                <w:bCs w:val="0"/>
                <w:i w:val="0"/>
                <w:iCs w:val="0"/>
                <w:color w:val="auto"/>
                <w:kern w:val="2"/>
                <w:sz w:val="18"/>
                <w:szCs w:val="18"/>
                <w:highlight w:val="none"/>
                <w:u w:val="none"/>
                <w:lang w:val="en-US" w:eastAsia="zh-CN" w:bidi="ar-SA"/>
              </w:rPr>
              <w:t>2.4U机箱，24盘位，1+1冗余电源，可支持对硬盘、电源、风扇、控制器模块热插拔维护；</w:t>
            </w:r>
          </w:p>
          <w:p w14:paraId="616A685F">
            <w:pPr>
              <w:keepNext w:val="0"/>
              <w:keepLines w:val="0"/>
              <w:widowControl/>
              <w:suppressLineNumbers w:val="0"/>
              <w:jc w:val="left"/>
              <w:textAlignment w:val="center"/>
              <w:rPr>
                <w:rFonts w:hint="eastAsia" w:ascii="宋体" w:hAnsi="宋体" w:eastAsia="宋体" w:cs="宋体"/>
                <w:b w:val="0"/>
                <w:bCs w:val="0"/>
                <w:i w:val="0"/>
                <w:iCs w:val="0"/>
                <w:color w:val="auto"/>
                <w:kern w:val="2"/>
                <w:sz w:val="18"/>
                <w:szCs w:val="18"/>
                <w:highlight w:val="none"/>
                <w:u w:val="none"/>
                <w:lang w:val="en-US" w:eastAsia="zh-CN" w:bidi="ar-SA"/>
              </w:rPr>
            </w:pPr>
            <w:r>
              <w:rPr>
                <w:rFonts w:hint="eastAsia" w:ascii="宋体" w:hAnsi="宋体" w:eastAsia="宋体" w:cs="宋体"/>
                <w:b w:val="0"/>
                <w:bCs w:val="0"/>
                <w:i w:val="0"/>
                <w:iCs w:val="0"/>
                <w:color w:val="auto"/>
                <w:kern w:val="2"/>
                <w:sz w:val="18"/>
                <w:szCs w:val="18"/>
                <w:highlight w:val="none"/>
                <w:u w:val="none"/>
                <w:lang w:val="en-US" w:eastAsia="zh-CN" w:bidi="ar-SA"/>
              </w:rPr>
              <w:t xml:space="preserve">3.默认4个10/100/1000Mbps自适应以太网电口，1个10/100Mbps自适用管理网口，可选配2张PCIE标卡（标卡需客户自行购买，如SAS卡、网卡）； </w:t>
            </w:r>
          </w:p>
          <w:p w14:paraId="0185E8BA">
            <w:pPr>
              <w:keepNext w:val="0"/>
              <w:keepLines w:val="0"/>
              <w:widowControl/>
              <w:suppressLineNumbers w:val="0"/>
              <w:jc w:val="left"/>
              <w:textAlignment w:val="center"/>
              <w:rPr>
                <w:rFonts w:hint="eastAsia" w:ascii="宋体" w:hAnsi="宋体" w:eastAsia="宋体" w:cs="宋体"/>
                <w:b w:val="0"/>
                <w:bCs w:val="0"/>
                <w:i w:val="0"/>
                <w:iCs w:val="0"/>
                <w:color w:val="auto"/>
                <w:kern w:val="2"/>
                <w:sz w:val="18"/>
                <w:szCs w:val="18"/>
                <w:highlight w:val="none"/>
                <w:u w:val="none"/>
                <w:lang w:val="en-US" w:eastAsia="zh-CN" w:bidi="ar-SA"/>
              </w:rPr>
            </w:pPr>
            <w:r>
              <w:rPr>
                <w:rFonts w:hint="eastAsia" w:ascii="宋体" w:hAnsi="宋体" w:eastAsia="宋体" w:cs="宋体"/>
                <w:b w:val="0"/>
                <w:bCs w:val="0"/>
                <w:i w:val="0"/>
                <w:iCs w:val="0"/>
                <w:color w:val="auto"/>
                <w:kern w:val="2"/>
                <w:sz w:val="18"/>
                <w:szCs w:val="18"/>
                <w:highlight w:val="none"/>
                <w:u w:val="none"/>
                <w:lang w:val="en-US" w:eastAsia="zh-CN" w:bidi="ar-SA"/>
              </w:rPr>
              <w:t>4.可适配CMR&amp;SMR硬盘，支持SATA硬盘，CMR单盘最大支持24TB硬盘，SMR单盘最大支持30TB；</w:t>
            </w:r>
          </w:p>
          <w:p w14:paraId="25A301A4">
            <w:pPr>
              <w:keepNext w:val="0"/>
              <w:keepLines w:val="0"/>
              <w:widowControl/>
              <w:suppressLineNumbers w:val="0"/>
              <w:jc w:val="left"/>
              <w:textAlignment w:val="center"/>
              <w:rPr>
                <w:rFonts w:hint="eastAsia" w:ascii="宋体" w:hAnsi="宋体" w:eastAsia="宋体" w:cs="宋体"/>
                <w:b w:val="0"/>
                <w:bCs w:val="0"/>
                <w:i w:val="0"/>
                <w:iCs w:val="0"/>
                <w:color w:val="auto"/>
                <w:kern w:val="2"/>
                <w:sz w:val="18"/>
                <w:szCs w:val="18"/>
                <w:highlight w:val="none"/>
                <w:u w:val="none"/>
                <w:lang w:val="en-US" w:eastAsia="zh-CN" w:bidi="ar-SA"/>
              </w:rPr>
            </w:pPr>
            <w:r>
              <w:rPr>
                <w:rFonts w:hint="eastAsia" w:ascii="宋体" w:hAnsi="宋体" w:eastAsia="宋体" w:cs="宋体"/>
                <w:b w:val="0"/>
                <w:bCs w:val="0"/>
                <w:i w:val="0"/>
                <w:iCs w:val="0"/>
                <w:color w:val="auto"/>
                <w:kern w:val="2"/>
                <w:sz w:val="18"/>
                <w:szCs w:val="18"/>
                <w:highlight w:val="none"/>
                <w:u w:val="none"/>
                <w:lang w:val="en-US" w:eastAsia="zh-CN" w:bidi="ar-SA"/>
              </w:rPr>
              <w:t>5.支持450路H.264/H.265混合接入，网络带宽1024Mbps接入，1024Mbps存储，1024Mbps转发；</w:t>
            </w:r>
          </w:p>
          <w:p w14:paraId="28FCA6A6">
            <w:pPr>
              <w:keepNext w:val="0"/>
              <w:keepLines w:val="0"/>
              <w:widowControl/>
              <w:suppressLineNumbers w:val="0"/>
              <w:jc w:val="left"/>
              <w:textAlignment w:val="center"/>
              <w:rPr>
                <w:rFonts w:hint="eastAsia" w:ascii="宋体" w:hAnsi="宋体" w:eastAsia="宋体" w:cs="宋体"/>
                <w:b w:val="0"/>
                <w:bCs w:val="0"/>
                <w:i w:val="0"/>
                <w:iCs w:val="0"/>
                <w:color w:val="auto"/>
                <w:kern w:val="2"/>
                <w:sz w:val="18"/>
                <w:szCs w:val="18"/>
                <w:highlight w:val="none"/>
                <w:u w:val="none"/>
                <w:lang w:val="en-US" w:eastAsia="zh-CN" w:bidi="ar-SA"/>
              </w:rPr>
            </w:pPr>
            <w:r>
              <w:rPr>
                <w:rFonts w:hint="eastAsia" w:ascii="宋体" w:hAnsi="宋体" w:eastAsia="宋体" w:cs="宋体"/>
                <w:b w:val="0"/>
                <w:bCs w:val="0"/>
                <w:i w:val="0"/>
                <w:iCs w:val="0"/>
                <w:color w:val="auto"/>
                <w:kern w:val="2"/>
                <w:sz w:val="18"/>
                <w:szCs w:val="18"/>
                <w:highlight w:val="none"/>
                <w:u w:val="none"/>
                <w:lang w:val="en-US" w:eastAsia="zh-CN" w:bidi="ar-SA"/>
              </w:rPr>
              <w:t>6.可通过ONVIF、GB28181、RTSP、视图库、主动注册等协议管理不同厂家前端摄像头，实现视频存储；</w:t>
            </w:r>
          </w:p>
        </w:tc>
        <w:tc>
          <w:tcPr>
            <w:tcW w:w="612" w:type="dxa"/>
            <w:shd w:val="clear" w:color="auto" w:fill="auto"/>
            <w:vAlign w:val="center"/>
          </w:tcPr>
          <w:p w14:paraId="3A2F262D">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highlight w:val="none"/>
                <w:u w:val="none"/>
                <w:lang w:val="en-US" w:eastAsia="zh-CN" w:bidi="ar-SA"/>
              </w:rPr>
            </w:pPr>
          </w:p>
        </w:tc>
        <w:tc>
          <w:tcPr>
            <w:tcW w:w="479" w:type="dxa"/>
            <w:shd w:val="clear" w:color="auto" w:fill="auto"/>
            <w:vAlign w:val="center"/>
          </w:tcPr>
          <w:p w14:paraId="3F461FE8">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highlight w:val="none"/>
                <w:u w:val="none"/>
                <w:lang w:val="en-US" w:eastAsia="zh-CN" w:bidi="ar-SA"/>
              </w:rPr>
            </w:pPr>
            <w:r>
              <w:rPr>
                <w:rFonts w:hint="eastAsia" w:ascii="宋体" w:hAnsi="宋体" w:eastAsia="宋体" w:cs="宋体"/>
                <w:b w:val="0"/>
                <w:bCs w:val="0"/>
                <w:i w:val="0"/>
                <w:iCs w:val="0"/>
                <w:color w:val="auto"/>
                <w:kern w:val="0"/>
                <w:sz w:val="18"/>
                <w:szCs w:val="18"/>
                <w:highlight w:val="none"/>
                <w:u w:val="none"/>
                <w:lang w:val="en-US" w:eastAsia="zh-CN" w:bidi="ar"/>
              </w:rPr>
              <w:t>台</w:t>
            </w:r>
          </w:p>
        </w:tc>
        <w:tc>
          <w:tcPr>
            <w:tcW w:w="522" w:type="dxa"/>
            <w:vAlign w:val="center"/>
          </w:tcPr>
          <w:p w14:paraId="3FB3DA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1</w:t>
            </w:r>
          </w:p>
        </w:tc>
      </w:tr>
      <w:tr w14:paraId="7C06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14:paraId="500365F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1069" w:type="dxa"/>
            <w:vAlign w:val="center"/>
          </w:tcPr>
          <w:p w14:paraId="7C1257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企业级硬盘</w:t>
            </w:r>
          </w:p>
        </w:tc>
        <w:tc>
          <w:tcPr>
            <w:tcW w:w="5372" w:type="dxa"/>
            <w:vAlign w:val="center"/>
          </w:tcPr>
          <w:p w14:paraId="008F4E7C">
            <w:pPr>
              <w:keepNext w:val="0"/>
              <w:keepLines w:val="0"/>
              <w:widowControl/>
              <w:suppressLineNumbers w:val="0"/>
              <w:jc w:val="left"/>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单盘容量：≥8TB；</w:t>
            </w:r>
          </w:p>
          <w:p w14:paraId="2467B9A0">
            <w:pPr>
              <w:keepNext w:val="0"/>
              <w:keepLines w:val="0"/>
              <w:widowControl/>
              <w:suppressLineNumbers w:val="0"/>
              <w:jc w:val="left"/>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缓存：256MB；</w:t>
            </w:r>
          </w:p>
          <w:p w14:paraId="2CD6D58F">
            <w:pPr>
              <w:keepNext w:val="0"/>
              <w:keepLines w:val="0"/>
              <w:widowControl/>
              <w:suppressLineNumbers w:val="0"/>
              <w:jc w:val="left"/>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转速：7200RPM；</w:t>
            </w:r>
          </w:p>
          <w:p w14:paraId="05FFB9E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硬盘接口：SATA</w:t>
            </w:r>
          </w:p>
        </w:tc>
        <w:tc>
          <w:tcPr>
            <w:tcW w:w="612" w:type="dxa"/>
            <w:vAlign w:val="center"/>
          </w:tcPr>
          <w:p w14:paraId="1370E8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79" w:type="dxa"/>
            <w:vAlign w:val="center"/>
          </w:tcPr>
          <w:p w14:paraId="310817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块</w:t>
            </w:r>
          </w:p>
        </w:tc>
        <w:tc>
          <w:tcPr>
            <w:tcW w:w="522" w:type="dxa"/>
            <w:vAlign w:val="center"/>
          </w:tcPr>
          <w:p w14:paraId="12C873F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r>
    </w:tbl>
    <w:p w14:paraId="0B561B3B">
      <w:pPr>
        <w:pStyle w:val="12"/>
        <w:ind w:left="0" w:leftChars="0" w:firstLine="0" w:firstLineChars="0"/>
        <w:rPr>
          <w:rFonts w:hint="eastAsia"/>
          <w:lang w:eastAsia="zh-CN"/>
        </w:rPr>
      </w:pPr>
    </w:p>
    <w:p w14:paraId="36C04D7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（九）完整性服务要求</w:t>
      </w:r>
    </w:p>
    <w:p w14:paraId="279BD23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★（1）维保期满或中途原因退出，须免费延长1个月的正常维护，配合校方开展业务交接，以便于校方后续工作安排。</w:t>
      </w:r>
    </w:p>
    <w:p w14:paraId="6FFE1DD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★（2）服务期内新增或更换的设备免费质保三年。</w:t>
      </w:r>
    </w:p>
    <w:p w14:paraId="3753B855">
      <w:pPr>
        <w:pageBreakBefore w:val="0"/>
        <w:numPr>
          <w:ilvl w:val="0"/>
          <w:numId w:val="0"/>
        </w:numPr>
        <w:kinsoku/>
        <w:wordWrap/>
        <w:topLinePunct w:val="0"/>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七、</w:t>
      </w:r>
      <w:r>
        <w:rPr>
          <w:rFonts w:hint="eastAsia" w:ascii="宋体" w:hAnsi="宋体" w:eastAsia="宋体" w:cs="宋体"/>
          <w:b/>
          <w:bCs/>
          <w:sz w:val="24"/>
          <w:szCs w:val="24"/>
          <w:lang w:val="en-US"/>
        </w:rPr>
        <w:t>维保</w:t>
      </w:r>
      <w:r>
        <w:rPr>
          <w:rFonts w:hint="eastAsia" w:ascii="宋体" w:hAnsi="宋体" w:eastAsia="宋体" w:cs="宋体"/>
          <w:b/>
          <w:bCs/>
          <w:sz w:val="24"/>
          <w:szCs w:val="24"/>
        </w:rPr>
        <w:t>期限</w:t>
      </w:r>
    </w:p>
    <w:p w14:paraId="024191C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维保服务期</w:t>
      </w:r>
      <w:r>
        <w:rPr>
          <w:rFonts w:hint="eastAsia" w:ascii="宋体" w:hAnsi="宋体" w:eastAsia="宋体" w:cs="宋体"/>
          <w:sz w:val="24"/>
          <w:szCs w:val="24"/>
          <w:u w:val="single"/>
          <w:lang w:val="en-US" w:eastAsia="zh-CN"/>
        </w:rPr>
        <w:t>一</w:t>
      </w:r>
      <w:r>
        <w:rPr>
          <w:rFonts w:hint="eastAsia" w:ascii="宋体" w:hAnsi="宋体" w:eastAsia="宋体" w:cs="宋体"/>
          <w:sz w:val="24"/>
          <w:szCs w:val="24"/>
          <w:u w:val="single"/>
        </w:rPr>
        <w:t>年</w:t>
      </w:r>
      <w:r>
        <w:rPr>
          <w:rFonts w:hint="eastAsia" w:ascii="宋体" w:hAnsi="宋体" w:eastAsia="宋体" w:cs="宋体"/>
          <w:sz w:val="24"/>
          <w:szCs w:val="24"/>
        </w:rPr>
        <w:t>，</w:t>
      </w:r>
      <w:r>
        <w:rPr>
          <w:rFonts w:hint="eastAsia" w:ascii="宋体" w:hAnsi="宋体" w:eastAsia="宋体" w:cs="宋体"/>
          <w:sz w:val="24"/>
          <w:szCs w:val="24"/>
          <w:lang w:val="en-US" w:eastAsia="zh-CN"/>
        </w:rPr>
        <w:t>维保期自合同签订</w:t>
      </w:r>
      <w:r>
        <w:rPr>
          <w:rFonts w:hint="eastAsia" w:ascii="宋体" w:hAnsi="宋体" w:eastAsia="宋体" w:cs="宋体"/>
          <w:sz w:val="24"/>
          <w:szCs w:val="24"/>
        </w:rPr>
        <w:t>之日起计算。</w:t>
      </w:r>
    </w:p>
    <w:p w14:paraId="25081D57">
      <w:pPr>
        <w:pageBreakBefore w:val="0"/>
        <w:numPr>
          <w:ilvl w:val="0"/>
          <w:numId w:val="0"/>
        </w:numPr>
        <w:kinsoku/>
        <w:wordWrap/>
        <w:topLinePunct w:val="0"/>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lang w:eastAsia="zh-CN"/>
        </w:rPr>
        <w:t>八、</w:t>
      </w:r>
      <w:r>
        <w:rPr>
          <w:rFonts w:hint="eastAsia" w:ascii="宋体" w:hAnsi="宋体" w:eastAsia="宋体" w:cs="宋体"/>
          <w:b/>
          <w:bCs/>
          <w:sz w:val="24"/>
          <w:szCs w:val="24"/>
        </w:rPr>
        <w:t>付款方式</w:t>
      </w:r>
    </w:p>
    <w:p w14:paraId="6EA844F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一年维保期满后，经学校考核、验收合格，公司提供等额发票，学校支付到合同价的100%。</w:t>
      </w:r>
    </w:p>
    <w:p w14:paraId="3A8343E3">
      <w:pPr>
        <w:pageBreakBefore w:val="0"/>
        <w:numPr>
          <w:ilvl w:val="0"/>
          <w:numId w:val="0"/>
        </w:numPr>
        <w:kinsoku/>
        <w:wordWrap/>
        <w:topLinePunct w:val="0"/>
        <w:bidi w:val="0"/>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九、投标文件的编制和提交</w:t>
      </w:r>
    </w:p>
    <w:p w14:paraId="58D029E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供应商应仔细阅读招标文件的所有内容，按招标文件的下列要求编制投标文件。</w:t>
      </w:r>
    </w:p>
    <w:p w14:paraId="44E4D6A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（一）响应文件应包括下列内容：（文件格式见附件）</w:t>
      </w:r>
    </w:p>
    <w:p w14:paraId="1A0C1DB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*1.有效的营业执照、组织机构代码证、税务登记证（或三证合一的有效证件）复印件加盖公章；</w:t>
      </w:r>
    </w:p>
    <w:p w14:paraId="5DDD974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*2.企业法人授权委托书加盖供应商公章；</w:t>
      </w:r>
    </w:p>
    <w:p w14:paraId="1902554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*3.法定代表人身份证明书加盖供应商公章；</w:t>
      </w:r>
    </w:p>
    <w:p w14:paraId="098EDC7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*4.供应商基本情况表加盖供应商公章；</w:t>
      </w:r>
    </w:p>
    <w:p w14:paraId="48AB856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*5.响应函加盖供应商公章；</w:t>
      </w:r>
    </w:p>
    <w:p w14:paraId="7728F27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*6.供应商承诺函（主要内容为响应采购人所提出项目要求的全部条款，保证按时完成上述服务）加盖供应商公章</w:t>
      </w:r>
    </w:p>
    <w:p w14:paraId="78EBA93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*7.技术参数偏离表，加盖供应商公章</w:t>
      </w:r>
    </w:p>
    <w:p w14:paraId="03C7439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*8.报价一览表，加盖供应商公章</w:t>
      </w:r>
    </w:p>
    <w:p w14:paraId="0E7838D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*9.提供未被“信用中国”网站（www.creditchina.gov.cn）或“中国政府采购网”网站（www.ccgp.gov.cn）或“国家企业信用信息公示系统”（www.gsxt.gov.cn/index.html）等信用信息平台查询报告（图片、截图 、pdf文件等）加盖供应商公章</w:t>
      </w:r>
    </w:p>
    <w:p w14:paraId="6122BD5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*10.售后服务承诺书加盖供应商公章</w:t>
      </w:r>
    </w:p>
    <w:p w14:paraId="1233CAA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*11.其他资料（投标单位请自行增加）提供加盖供应商公章。</w:t>
      </w:r>
    </w:p>
    <w:p w14:paraId="57AA332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*12.招标文件内的打“★”为实质性响应要求，供应商需完全满足并提供承诺函加盖供应商公章，否则视为无效响应文件。</w:t>
      </w:r>
    </w:p>
    <w:p w14:paraId="67F3466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（二）响应文件的签署及内容确认规定</w:t>
      </w:r>
    </w:p>
    <w:p w14:paraId="7AE1E64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响应文件分为正本一份，副本一份，胶装成册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2.正本与副本如有差异，以正本为准。</w:t>
      </w:r>
    </w:p>
    <w:p w14:paraId="3C1EE7B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3.响应文件原则上不允许有加行、涂改，允许个别补充、修改，但补充、修改处必须由供应商代表签字盖章确认。</w:t>
      </w:r>
    </w:p>
    <w:p w14:paraId="08AB139F">
      <w:pPr>
        <w:pageBreakBefore w:val="0"/>
        <w:numPr>
          <w:ilvl w:val="0"/>
          <w:numId w:val="0"/>
        </w:numPr>
        <w:kinsoku/>
        <w:wordWrap/>
        <w:topLinePunct w:val="0"/>
        <w:bidi w:val="0"/>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十、投标文件递交</w:t>
      </w:r>
    </w:p>
    <w:p w14:paraId="261C7595">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（一）投标截止时间：2025年</w:t>
      </w:r>
      <w:r>
        <w:rPr>
          <w:rFonts w:hint="eastAsia" w:cs="宋体"/>
          <w:color w:val="auto"/>
          <w:sz w:val="24"/>
          <w:szCs w:val="24"/>
          <w:highlight w:val="none"/>
          <w:lang w:val="en-US" w:eastAsia="zh-CN" w:bidi="zh-CN"/>
        </w:rPr>
        <w:t>7月10日</w:t>
      </w:r>
      <w:r>
        <w:rPr>
          <w:rFonts w:hint="eastAsia" w:ascii="宋体" w:hAnsi="宋体" w:eastAsia="宋体" w:cs="宋体"/>
          <w:color w:val="auto"/>
          <w:sz w:val="24"/>
          <w:szCs w:val="24"/>
          <w:highlight w:val="none"/>
          <w:lang w:val="en-US" w:eastAsia="zh-CN" w:bidi="zh-CN"/>
        </w:rPr>
        <w:t>9:00（北京时间）。</w:t>
      </w:r>
    </w:p>
    <w:p w14:paraId="2CD79F29">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（二）递交方式一：请于2025年</w:t>
      </w:r>
      <w:r>
        <w:rPr>
          <w:rFonts w:hint="eastAsia" w:cs="宋体"/>
          <w:color w:val="auto"/>
          <w:sz w:val="24"/>
          <w:szCs w:val="24"/>
          <w:highlight w:val="none"/>
          <w:lang w:val="en-US" w:eastAsia="zh-CN" w:bidi="zh-CN"/>
        </w:rPr>
        <w:t>7月10日</w:t>
      </w:r>
      <w:r>
        <w:rPr>
          <w:rFonts w:hint="eastAsia" w:ascii="宋体" w:hAnsi="宋体" w:eastAsia="宋体" w:cs="宋体"/>
          <w:color w:val="auto"/>
          <w:sz w:val="24"/>
          <w:szCs w:val="24"/>
          <w:highlight w:val="none"/>
          <w:lang w:val="en-US" w:eastAsia="zh-CN" w:bidi="zh-CN"/>
        </w:rPr>
        <w:t>9:00（北京时间）前将报告送至常州工业职业技术学院国有资产管理处（图文楼1009室）。联系人：王老师 0519-86335066</w:t>
      </w:r>
    </w:p>
    <w:p w14:paraId="6701AD0D">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递交方式二：邮寄送达至常州市武进区鸣新中路28号常州工业职业技术学院图文楼1009室 收件人：王老师 0519-86335066，邮寄接收截止时间：2025年</w:t>
      </w:r>
      <w:r>
        <w:rPr>
          <w:rFonts w:hint="eastAsia" w:cs="宋体"/>
          <w:color w:val="auto"/>
          <w:sz w:val="24"/>
          <w:szCs w:val="24"/>
          <w:highlight w:val="none"/>
          <w:lang w:val="en-US" w:eastAsia="zh-CN" w:bidi="zh-CN"/>
        </w:rPr>
        <w:t>7月10日</w:t>
      </w:r>
      <w:r>
        <w:rPr>
          <w:rFonts w:hint="eastAsia" w:ascii="宋体" w:hAnsi="宋体" w:eastAsia="宋体" w:cs="宋体"/>
          <w:color w:val="auto"/>
          <w:sz w:val="24"/>
          <w:szCs w:val="24"/>
          <w:highlight w:val="none"/>
          <w:lang w:val="en-US" w:eastAsia="zh-CN" w:bidi="zh-CN"/>
        </w:rPr>
        <w:t>9:00（北京时间），邮寄接收以到达时间为准，请供应商自行考虑邮寄在途时间，确保在响应文件递交截止时间前到达。</w:t>
      </w:r>
      <w:r>
        <w:rPr>
          <w:rFonts w:hint="eastAsia"/>
          <w:b/>
          <w:bCs/>
          <w:sz w:val="24"/>
          <w:szCs w:val="24"/>
          <w:lang w:eastAsia="zh-CN"/>
        </w:rPr>
        <w:t>（</w:t>
      </w:r>
      <w:r>
        <w:rPr>
          <w:rFonts w:hint="eastAsia"/>
          <w:b/>
          <w:bCs/>
          <w:sz w:val="24"/>
          <w:szCs w:val="24"/>
          <w:lang w:val="en-US" w:eastAsia="zh-CN"/>
        </w:rPr>
        <w:t>暑假期间建议邮递方式</w:t>
      </w:r>
      <w:r>
        <w:rPr>
          <w:rFonts w:hint="eastAsia"/>
          <w:b/>
          <w:bCs/>
          <w:sz w:val="24"/>
          <w:szCs w:val="24"/>
          <w:lang w:eastAsia="zh-CN"/>
        </w:rPr>
        <w:t>）</w:t>
      </w:r>
    </w:p>
    <w:p w14:paraId="4658BEAA">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（三）采购联系人及电话：王老师 0519-86335066</w:t>
      </w:r>
    </w:p>
    <w:p w14:paraId="55974BA9">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（四）项目联系人及电话：</w:t>
      </w:r>
      <w:r>
        <w:rPr>
          <w:rFonts w:hint="eastAsia" w:cs="宋体"/>
          <w:color w:val="auto"/>
          <w:sz w:val="24"/>
          <w:szCs w:val="24"/>
          <w:lang w:val="en-US" w:eastAsia="zh-CN" w:bidi="zh-CN"/>
        </w:rPr>
        <w:t>王</w:t>
      </w:r>
      <w:r>
        <w:rPr>
          <w:rFonts w:hint="eastAsia" w:ascii="宋体" w:hAnsi="宋体" w:eastAsia="宋体" w:cs="宋体"/>
          <w:color w:val="auto"/>
          <w:sz w:val="24"/>
          <w:szCs w:val="24"/>
          <w:highlight w:val="none"/>
          <w:lang w:val="en-US" w:eastAsia="zh-CN" w:bidi="zh-CN"/>
        </w:rPr>
        <w:t>老师</w:t>
      </w:r>
      <w:r>
        <w:rPr>
          <w:rFonts w:hint="eastAsia" w:cs="宋体"/>
          <w:color w:val="auto"/>
          <w:sz w:val="24"/>
          <w:szCs w:val="24"/>
          <w:highlight w:val="none"/>
          <w:lang w:val="en-US" w:eastAsia="zh-CN" w:bidi="zh-CN"/>
        </w:rPr>
        <w:t xml:space="preserve">  18905296761</w:t>
      </w:r>
      <w:r>
        <w:rPr>
          <w:rFonts w:hint="eastAsia" w:ascii="宋体" w:hAnsi="宋体" w:eastAsia="宋体" w:cs="宋体"/>
          <w:color w:val="auto"/>
          <w:sz w:val="24"/>
          <w:szCs w:val="24"/>
          <w:highlight w:val="none"/>
          <w:lang w:val="en-US" w:eastAsia="zh-CN" w:bidi="zh-CN"/>
        </w:rPr>
        <w:t xml:space="preserve">。 </w:t>
      </w:r>
      <w:r>
        <w:rPr>
          <w:rFonts w:hint="eastAsia" w:ascii="宋体" w:hAnsi="宋体" w:eastAsia="宋体" w:cs="宋体"/>
          <w:color w:val="auto"/>
          <w:sz w:val="24"/>
          <w:szCs w:val="24"/>
          <w:lang w:val="en-US" w:eastAsia="zh-CN" w:bidi="zh-CN"/>
        </w:rPr>
        <w:t xml:space="preserve">   </w:t>
      </w:r>
    </w:p>
    <w:p w14:paraId="283E6C4F">
      <w:pPr>
        <w:pageBreakBefore w:val="0"/>
        <w:numPr>
          <w:ilvl w:val="0"/>
          <w:numId w:val="0"/>
        </w:numPr>
        <w:kinsoku/>
        <w:wordWrap/>
        <w:topLinePunct w:val="0"/>
        <w:bidi w:val="0"/>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十一、评审</w:t>
      </w:r>
    </w:p>
    <w:p w14:paraId="7DCDEB56">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（一）根据采购项目特点，由招标方有关部门根据学校招投标办法组建评标小组。</w:t>
      </w:r>
    </w:p>
    <w:p w14:paraId="5FCA3DDF">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（二）评审工作的基本准则</w:t>
      </w:r>
    </w:p>
    <w:p w14:paraId="6CB4891F">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1．贯彻执行国家有关法律、法规，维护国家利益；</w:t>
      </w:r>
    </w:p>
    <w:p w14:paraId="64FD66CA">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2．保护招供应商合法权益；</w:t>
      </w:r>
    </w:p>
    <w:p w14:paraId="685D4F63">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3．客观、公正、公开地对待所有供应商；</w:t>
      </w:r>
    </w:p>
    <w:p w14:paraId="5EBB7A68">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4．供应商不得以任何形式干扰评标活动，否则将取消其投标资格。</w:t>
      </w:r>
    </w:p>
    <w:p w14:paraId="5953C1C5">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（三）评审方法和程序</w:t>
      </w:r>
    </w:p>
    <w:p w14:paraId="7D3D822C">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1．评审小组先集体审查响应文件，看是否与采购文件的所有实质性条款、条件和规定相符，投标文件如有缺项，则为无效响应。</w:t>
      </w:r>
    </w:p>
    <w:p w14:paraId="037F3B38">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2．成交原则：在符合采购需求、质量和服务等要求且报价未超过最高限价为前提下，资格审核通过且最低投标报价的响应单位为成交供应商。若最低投标报价相同，则依次按质量保证期长优先、维修期限短优先、服务支持响应时间短优先的顺序排列选择成交供应商。</w:t>
      </w:r>
    </w:p>
    <w:p w14:paraId="3940E91E">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（四）成交通知</w:t>
      </w:r>
    </w:p>
    <w:p w14:paraId="0A3BE8E9">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1．评审结果确定后，采购人将在学校网站上公示或电话通知。</w:t>
      </w:r>
    </w:p>
    <w:p w14:paraId="3762F149">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2．供应商的投标文件将入档封存，恕不退还。</w:t>
      </w:r>
    </w:p>
    <w:p w14:paraId="69CF51A9">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（五）履约保证</w:t>
      </w:r>
    </w:p>
    <w:p w14:paraId="517CBFEC">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1．供应商不得串通投标，否则将取消其投标资格。</w:t>
      </w:r>
    </w:p>
    <w:p w14:paraId="39DBA06B">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2．成交供应商不得转让项目，否则将取消其中标资格。</w:t>
      </w:r>
    </w:p>
    <w:p w14:paraId="39A600FD">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如发生以上违规行为，采购人保留进一步作出处罚措施的权利。</w:t>
      </w:r>
    </w:p>
    <w:p w14:paraId="3080B4C4">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（六）合同签订</w:t>
      </w:r>
    </w:p>
    <w:p w14:paraId="54A38849">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采购文件、成交供应商的响应文件等均为签订合同的依据。</w:t>
      </w:r>
    </w:p>
    <w:p w14:paraId="20B0447E">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十二、响应文件有效期</w:t>
      </w:r>
    </w:p>
    <w:p w14:paraId="40823F07">
      <w:pPr>
        <w:pageBreakBefore w:val="0"/>
        <w:kinsoku/>
        <w:wordWrap/>
        <w:topLinePunct w:val="0"/>
        <w:bidi w:val="0"/>
        <w:snapToGrid w:val="0"/>
        <w:spacing w:line="360" w:lineRule="auto"/>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en-US" w:eastAsia="zh-CN" w:bidi="zh-CN"/>
        </w:rPr>
        <w:t>成交供应商的响应文件具有与合同相同的有效期。其他响应文件在采购人与成交供应商签订合同后，自然失效。</w:t>
      </w:r>
    </w:p>
    <w:p w14:paraId="11FC071B">
      <w:pPr>
        <w:pStyle w:val="2"/>
        <w:pageBreakBefore w:val="0"/>
        <w:kinsoku/>
        <w:wordWrap/>
        <w:topLinePunct w:val="0"/>
        <w:bidi w:val="0"/>
        <w:snapToGrid w:val="0"/>
        <w:spacing w:line="360" w:lineRule="auto"/>
        <w:jc w:val="right"/>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 xml:space="preserve">常州工业职业技术学院            </w:t>
      </w:r>
    </w:p>
    <w:p w14:paraId="0CA9638A">
      <w:pPr>
        <w:pStyle w:val="2"/>
        <w:pageBreakBefore w:val="0"/>
        <w:kinsoku/>
        <w:wordWrap/>
        <w:topLinePunct w:val="0"/>
        <w:bidi w:val="0"/>
        <w:snapToGrid w:val="0"/>
        <w:spacing w:line="360" w:lineRule="auto"/>
        <w:jc w:val="both"/>
        <w:rPr>
          <w:rFonts w:hint="eastAsia" w:ascii="宋体" w:hAnsi="宋体" w:eastAsia="宋体" w:cs="宋体"/>
          <w:color w:val="auto"/>
          <w:sz w:val="24"/>
          <w:szCs w:val="24"/>
          <w:lang w:val="zh-CN" w:eastAsia="zh-CN" w:bidi="zh-CN"/>
        </w:rPr>
      </w:pPr>
      <w:bookmarkStart w:id="2" w:name="_GoBack"/>
      <w:bookmarkEnd w:id="2"/>
    </w:p>
    <w:p w14:paraId="6E50A00E">
      <w:pPr>
        <w:pStyle w:val="2"/>
        <w:pageBreakBefore w:val="0"/>
        <w:kinsoku/>
        <w:wordWrap/>
        <w:topLinePunct w:val="0"/>
        <w:bidi w:val="0"/>
        <w:snapToGrid w:val="0"/>
        <w:spacing w:line="360" w:lineRule="auto"/>
        <w:jc w:val="right"/>
        <w:rPr>
          <w:rFonts w:hint="eastAsia" w:ascii="宋体" w:hAnsi="宋体" w:eastAsia="宋体" w:cs="宋体"/>
          <w:b/>
          <w:sz w:val="24"/>
          <w:szCs w:val="24"/>
        </w:rPr>
      </w:pPr>
      <w:r>
        <w:rPr>
          <w:rFonts w:hint="eastAsia" w:ascii="宋体" w:hAnsi="宋体" w:eastAsia="宋体" w:cs="宋体"/>
          <w:color w:val="auto"/>
          <w:sz w:val="24"/>
          <w:szCs w:val="24"/>
          <w:lang w:val="zh-CN" w:eastAsia="zh-CN" w:bidi="zh-CN"/>
        </w:rPr>
        <w:t xml:space="preserve">              </w:t>
      </w:r>
      <w:r>
        <w:rPr>
          <w:rFonts w:hint="eastAsia" w:ascii="宋体" w:hAnsi="宋体" w:eastAsia="宋体" w:cs="宋体"/>
          <w:color w:val="auto"/>
          <w:sz w:val="24"/>
          <w:szCs w:val="24"/>
          <w:lang w:val="en-US" w:eastAsia="zh-CN" w:bidi="zh-CN"/>
        </w:rPr>
        <w:t xml:space="preserve">                            </w:t>
      </w:r>
      <w:r>
        <w:rPr>
          <w:rFonts w:hint="eastAsia" w:ascii="宋体" w:hAnsi="宋体" w:eastAsia="宋体" w:cs="宋体"/>
          <w:color w:val="auto"/>
          <w:sz w:val="24"/>
          <w:szCs w:val="24"/>
          <w:lang w:val="zh-CN" w:eastAsia="zh-CN" w:bidi="zh-CN"/>
        </w:rPr>
        <w:t>202</w:t>
      </w:r>
      <w:r>
        <w:rPr>
          <w:rFonts w:hint="eastAsia" w:ascii="宋体" w:hAnsi="宋体" w:eastAsia="宋体" w:cs="宋体"/>
          <w:color w:val="auto"/>
          <w:sz w:val="24"/>
          <w:szCs w:val="24"/>
          <w:lang w:val="en-US" w:eastAsia="zh-CN" w:bidi="zh-CN"/>
        </w:rPr>
        <w:t>5</w:t>
      </w:r>
      <w:r>
        <w:rPr>
          <w:rFonts w:hint="eastAsia" w:ascii="宋体" w:hAnsi="宋体" w:eastAsia="宋体" w:cs="宋体"/>
          <w:color w:val="auto"/>
          <w:sz w:val="24"/>
          <w:szCs w:val="24"/>
          <w:lang w:val="zh-CN" w:eastAsia="zh-CN" w:bidi="zh-CN"/>
        </w:rPr>
        <w:t>年</w:t>
      </w:r>
      <w:r>
        <w:rPr>
          <w:rFonts w:hint="eastAsia" w:hAnsi="宋体" w:cs="宋体"/>
          <w:color w:val="auto"/>
          <w:sz w:val="24"/>
          <w:szCs w:val="24"/>
          <w:lang w:val="en-US" w:eastAsia="zh-CN" w:bidi="zh-CN"/>
        </w:rPr>
        <w:t xml:space="preserve"> 7 </w:t>
      </w:r>
      <w:r>
        <w:rPr>
          <w:rFonts w:hint="eastAsia" w:ascii="宋体" w:hAnsi="宋体" w:eastAsia="宋体" w:cs="宋体"/>
          <w:color w:val="auto"/>
          <w:sz w:val="24"/>
          <w:szCs w:val="24"/>
          <w:lang w:val="zh-CN" w:eastAsia="zh-CN" w:bidi="zh-CN"/>
        </w:rPr>
        <w:t>月</w:t>
      </w:r>
      <w:r>
        <w:rPr>
          <w:rFonts w:hint="eastAsia" w:hAnsi="宋体" w:cs="宋体"/>
          <w:color w:val="auto"/>
          <w:sz w:val="24"/>
          <w:szCs w:val="24"/>
          <w:lang w:val="en-US" w:eastAsia="zh-CN" w:bidi="zh-CN"/>
        </w:rPr>
        <w:t xml:space="preserve"> 4 </w:t>
      </w:r>
      <w:r>
        <w:rPr>
          <w:rFonts w:hint="eastAsia" w:ascii="宋体" w:hAnsi="宋体" w:eastAsia="宋体" w:cs="宋体"/>
          <w:color w:val="auto"/>
          <w:sz w:val="24"/>
          <w:szCs w:val="24"/>
          <w:lang w:val="zh-CN" w:eastAsia="zh-CN" w:bidi="zh-CN"/>
        </w:rPr>
        <w:t>日</w:t>
      </w:r>
      <w:bookmarkStart w:id="1" w:name="_Toc308700881"/>
    </w:p>
    <w:p w14:paraId="32150336">
      <w:pPr>
        <w:pageBreakBefore w:val="0"/>
        <w:numPr>
          <w:ilvl w:val="0"/>
          <w:numId w:val="0"/>
        </w:numPr>
        <w:kinsoku/>
        <w:wordWrap/>
        <w:topLinePunct w:val="0"/>
        <w:bidi w:val="0"/>
        <w:spacing w:line="360" w:lineRule="auto"/>
        <w:rPr>
          <w:rFonts w:hint="eastAsia" w:ascii="宋体" w:hAnsi="宋体" w:eastAsia="宋体" w:cs="宋体"/>
          <w:b/>
          <w:bCs/>
          <w:sz w:val="24"/>
          <w:szCs w:val="24"/>
          <w:lang w:val="en-US" w:eastAsia="zh-CN"/>
        </w:rPr>
      </w:pPr>
    </w:p>
    <w:p w14:paraId="46C02A58">
      <w:pPr>
        <w:pageBreakBefore w:val="0"/>
        <w:numPr>
          <w:ilvl w:val="0"/>
          <w:numId w:val="0"/>
        </w:numPr>
        <w:kinsoku/>
        <w:wordWrap/>
        <w:topLinePunct w:val="0"/>
        <w:bidi w:val="0"/>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十三、响应文件格式</w:t>
      </w:r>
      <w:bookmarkEnd w:id="1"/>
    </w:p>
    <w:p w14:paraId="55254B5B">
      <w:pPr>
        <w:pageBreakBefore w:val="0"/>
        <w:kinsoku/>
        <w:wordWrap/>
        <w:topLinePunct w:val="0"/>
        <w:bidi w:val="0"/>
        <w:spacing w:line="360" w:lineRule="auto"/>
        <w:rPr>
          <w:rFonts w:hint="eastAsia" w:ascii="宋体" w:hAnsi="宋体" w:eastAsia="宋体" w:cs="宋体"/>
          <w:b/>
          <w:bCs/>
          <w:sz w:val="24"/>
          <w:szCs w:val="24"/>
        </w:rPr>
      </w:pPr>
    </w:p>
    <w:p w14:paraId="12C8D6A6">
      <w:pPr>
        <w:pageBreakBefore w:val="0"/>
        <w:kinsoku/>
        <w:wordWrap/>
        <w:topLinePunct w:val="0"/>
        <w:bidi w:val="0"/>
        <w:spacing w:line="360" w:lineRule="auto"/>
        <w:rPr>
          <w:rFonts w:hint="eastAsia" w:ascii="宋体" w:hAnsi="宋体" w:eastAsia="宋体" w:cs="宋体"/>
          <w:b/>
          <w:sz w:val="24"/>
          <w:szCs w:val="24"/>
        </w:rPr>
      </w:pPr>
      <w:r>
        <w:rPr>
          <w:rFonts w:hint="eastAsia" w:ascii="宋体" w:hAnsi="宋体" w:eastAsia="宋体" w:cs="宋体"/>
          <w:b/>
          <w:bCs/>
          <w:sz w:val="24"/>
          <w:szCs w:val="24"/>
        </w:rPr>
        <w:t>附件1：</w:t>
      </w:r>
      <w:r>
        <w:rPr>
          <w:rFonts w:hint="eastAsia" w:ascii="宋体" w:hAnsi="宋体" w:eastAsia="宋体" w:cs="宋体"/>
          <w:bCs/>
          <w:sz w:val="24"/>
          <w:szCs w:val="24"/>
          <w:lang w:val="en-US"/>
        </w:rPr>
        <w:t>响应</w:t>
      </w:r>
      <w:r>
        <w:rPr>
          <w:rFonts w:hint="eastAsia" w:ascii="宋体" w:hAnsi="宋体" w:eastAsia="宋体" w:cs="宋体"/>
          <w:bCs/>
          <w:sz w:val="24"/>
          <w:szCs w:val="24"/>
        </w:rPr>
        <w:t>文件封面</w:t>
      </w:r>
    </w:p>
    <w:p w14:paraId="3DDF6A0F">
      <w:pPr>
        <w:pageBreakBefore w:val="0"/>
        <w:kinsoku/>
        <w:wordWrap/>
        <w:topLinePunct w:val="0"/>
        <w:bidi w:val="0"/>
        <w:spacing w:line="360" w:lineRule="auto"/>
        <w:rPr>
          <w:rFonts w:hint="eastAsia" w:ascii="宋体" w:hAnsi="宋体" w:eastAsia="宋体" w:cs="宋体"/>
          <w:sz w:val="24"/>
          <w:szCs w:val="24"/>
        </w:rPr>
      </w:pPr>
    </w:p>
    <w:p w14:paraId="3EF48D6D">
      <w:pPr>
        <w:pageBreakBefore w:val="0"/>
        <w:kinsoku/>
        <w:wordWrap/>
        <w:topLinePunct w:val="0"/>
        <w:bidi w:val="0"/>
        <w:spacing w:line="360" w:lineRule="auto"/>
        <w:rPr>
          <w:rFonts w:hint="eastAsia" w:ascii="宋体" w:hAnsi="宋体" w:eastAsia="宋体" w:cs="宋体"/>
          <w:sz w:val="24"/>
          <w:szCs w:val="24"/>
        </w:rPr>
      </w:pPr>
    </w:p>
    <w:p w14:paraId="46E26F7B">
      <w:pPr>
        <w:pageBreakBefore w:val="0"/>
        <w:kinsoku/>
        <w:wordWrap/>
        <w:topLinePunct w:val="0"/>
        <w:bidi w:val="0"/>
        <w:spacing w:line="360" w:lineRule="auto"/>
        <w:rPr>
          <w:rFonts w:hint="eastAsia" w:ascii="宋体" w:hAnsi="宋体" w:eastAsia="宋体" w:cs="宋体"/>
          <w:sz w:val="24"/>
          <w:szCs w:val="24"/>
        </w:rPr>
      </w:pPr>
    </w:p>
    <w:p w14:paraId="77DB9633">
      <w:pPr>
        <w:pStyle w:val="3"/>
        <w:pageBreakBefore w:val="0"/>
        <w:kinsoku/>
        <w:wordWrap/>
        <w:topLinePunct w:val="0"/>
        <w:bidi w:val="0"/>
        <w:spacing w:line="360" w:lineRule="auto"/>
        <w:rPr>
          <w:rFonts w:hint="eastAsia" w:ascii="宋体" w:hAnsi="宋体" w:eastAsia="宋体" w:cs="宋体"/>
          <w:sz w:val="24"/>
          <w:szCs w:val="24"/>
        </w:rPr>
      </w:pPr>
    </w:p>
    <w:p w14:paraId="3E1E1E89">
      <w:pPr>
        <w:pageBreakBefore w:val="0"/>
        <w:kinsoku/>
        <w:wordWrap/>
        <w:topLinePunct w:val="0"/>
        <w:bidi w:val="0"/>
        <w:spacing w:line="360" w:lineRule="auto"/>
        <w:jc w:val="center"/>
        <w:rPr>
          <w:rFonts w:hint="eastAsia" w:ascii="宋体" w:hAnsi="宋体" w:eastAsia="宋体" w:cs="宋体"/>
          <w:sz w:val="24"/>
          <w:szCs w:val="24"/>
          <w:u w:val="single"/>
        </w:rPr>
      </w:pPr>
      <w:r>
        <w:rPr>
          <w:rFonts w:hint="eastAsia" w:ascii="宋体" w:hAnsi="宋体" w:eastAsia="宋体" w:cs="宋体"/>
          <w:sz w:val="24"/>
          <w:szCs w:val="24"/>
          <w:u w:val="single"/>
        </w:rPr>
        <w:t xml:space="preserve">                            项目</w:t>
      </w:r>
    </w:p>
    <w:p w14:paraId="248638ED">
      <w:pPr>
        <w:pageBreakBefore w:val="0"/>
        <w:kinsoku/>
        <w:wordWrap/>
        <w:topLinePunct w:val="0"/>
        <w:bidi w:val="0"/>
        <w:spacing w:line="360" w:lineRule="auto"/>
        <w:jc w:val="center"/>
        <w:rPr>
          <w:rFonts w:hint="eastAsia" w:ascii="宋体" w:hAnsi="宋体" w:eastAsia="宋体" w:cs="宋体"/>
          <w:sz w:val="24"/>
          <w:szCs w:val="24"/>
          <w:lang w:val="en-US"/>
        </w:rPr>
      </w:pPr>
    </w:p>
    <w:p w14:paraId="4C4296B1">
      <w:pPr>
        <w:pageBreakBefore w:val="0"/>
        <w:kinsoku/>
        <w:wordWrap/>
        <w:topLinePunct w:val="0"/>
        <w:bidi w:val="0"/>
        <w:spacing w:line="360" w:lineRule="auto"/>
        <w:jc w:val="center"/>
        <w:rPr>
          <w:rFonts w:hint="eastAsia" w:ascii="宋体" w:hAnsi="宋体" w:eastAsia="宋体" w:cs="宋体"/>
          <w:sz w:val="24"/>
          <w:szCs w:val="24"/>
          <w:lang w:val="en-US"/>
        </w:rPr>
      </w:pPr>
    </w:p>
    <w:p w14:paraId="319BDFCA">
      <w:pPr>
        <w:pageBreakBefore w:val="0"/>
        <w:kinsoku/>
        <w:wordWrap/>
        <w:topLinePunct w:val="0"/>
        <w:bidi w:val="0"/>
        <w:spacing w:line="360" w:lineRule="auto"/>
        <w:jc w:val="center"/>
        <w:rPr>
          <w:rFonts w:hint="eastAsia" w:ascii="宋体" w:hAnsi="宋体" w:eastAsia="宋体" w:cs="宋体"/>
          <w:sz w:val="24"/>
          <w:szCs w:val="24"/>
          <w:lang w:val="en-US"/>
        </w:rPr>
      </w:pPr>
      <w:r>
        <w:rPr>
          <w:rFonts w:hint="eastAsia" w:ascii="宋体" w:hAnsi="宋体" w:eastAsia="宋体" w:cs="宋体"/>
          <w:sz w:val="24"/>
          <w:szCs w:val="24"/>
          <w:lang w:val="en-US"/>
        </w:rPr>
        <w:t>响</w:t>
      </w:r>
    </w:p>
    <w:p w14:paraId="43E519E8">
      <w:pPr>
        <w:pageBreakBefore w:val="0"/>
        <w:kinsoku/>
        <w:wordWrap/>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rPr>
        <w:t>应</w:t>
      </w:r>
    </w:p>
    <w:p w14:paraId="471FA4BC">
      <w:pPr>
        <w:pageBreakBefore w:val="0"/>
        <w:kinsoku/>
        <w:wordWrap/>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文</w:t>
      </w:r>
    </w:p>
    <w:p w14:paraId="23FF96C4">
      <w:pPr>
        <w:pageBreakBefore w:val="0"/>
        <w:kinsoku/>
        <w:wordWrap/>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件</w:t>
      </w:r>
    </w:p>
    <w:p w14:paraId="1F47A835">
      <w:pPr>
        <w:pageBreakBefore w:val="0"/>
        <w:tabs>
          <w:tab w:val="left" w:pos="840"/>
          <w:tab w:val="left" w:pos="8280"/>
        </w:tabs>
        <w:kinsoku/>
        <w:wordWrap/>
        <w:topLinePunct w:val="0"/>
        <w:bidi w:val="0"/>
        <w:spacing w:line="360" w:lineRule="auto"/>
        <w:ind w:firstLine="948" w:firstLineChars="395"/>
        <w:rPr>
          <w:rFonts w:hint="eastAsia" w:ascii="宋体" w:hAnsi="宋体" w:eastAsia="宋体" w:cs="宋体"/>
          <w:sz w:val="24"/>
          <w:szCs w:val="24"/>
        </w:rPr>
      </w:pPr>
    </w:p>
    <w:p w14:paraId="1B0CCC47">
      <w:pPr>
        <w:pageBreakBefore w:val="0"/>
        <w:tabs>
          <w:tab w:val="left" w:pos="840"/>
          <w:tab w:val="left" w:pos="8280"/>
        </w:tabs>
        <w:kinsoku/>
        <w:wordWrap/>
        <w:topLinePunct w:val="0"/>
        <w:bidi w:val="0"/>
        <w:spacing w:line="360" w:lineRule="auto"/>
        <w:ind w:firstLine="948" w:firstLineChars="395"/>
        <w:rPr>
          <w:rFonts w:hint="eastAsia" w:ascii="宋体" w:hAnsi="宋体" w:eastAsia="宋体" w:cs="宋体"/>
          <w:sz w:val="24"/>
          <w:szCs w:val="24"/>
        </w:rPr>
      </w:pPr>
      <w:r>
        <w:rPr>
          <w:rFonts w:hint="eastAsia" w:ascii="宋体" w:hAnsi="宋体" w:eastAsia="宋体" w:cs="宋体"/>
          <w:sz w:val="24"/>
          <w:szCs w:val="24"/>
        </w:rPr>
        <w:t>申购单号：</w:t>
      </w:r>
    </w:p>
    <w:p w14:paraId="55057D29">
      <w:pPr>
        <w:pageBreakBefore w:val="0"/>
        <w:tabs>
          <w:tab w:val="left" w:pos="840"/>
          <w:tab w:val="left" w:pos="8280"/>
        </w:tabs>
        <w:kinsoku/>
        <w:wordWrap/>
        <w:topLinePunct w:val="0"/>
        <w:bidi w:val="0"/>
        <w:spacing w:line="360" w:lineRule="auto"/>
        <w:ind w:firstLine="948" w:firstLineChars="395"/>
        <w:rPr>
          <w:rFonts w:hint="eastAsia" w:ascii="宋体" w:hAnsi="宋体" w:eastAsia="宋体" w:cs="宋体"/>
          <w:sz w:val="24"/>
          <w:szCs w:val="24"/>
        </w:rPr>
      </w:pPr>
      <w:r>
        <w:rPr>
          <w:rFonts w:hint="eastAsia" w:ascii="宋体" w:hAnsi="宋体" w:eastAsia="宋体" w:cs="宋体"/>
          <w:sz w:val="24"/>
          <w:szCs w:val="24"/>
        </w:rPr>
        <w:t>项目名称：</w:t>
      </w:r>
    </w:p>
    <w:p w14:paraId="4E9F5EAB">
      <w:pPr>
        <w:pageBreakBefore w:val="0"/>
        <w:tabs>
          <w:tab w:val="left" w:pos="840"/>
          <w:tab w:val="left" w:pos="8280"/>
        </w:tabs>
        <w:kinsoku/>
        <w:wordWrap/>
        <w:topLinePunct w:val="0"/>
        <w:bidi w:val="0"/>
        <w:spacing w:line="360" w:lineRule="auto"/>
        <w:ind w:firstLine="948" w:firstLineChars="395"/>
        <w:rPr>
          <w:rFonts w:hint="eastAsia" w:ascii="宋体" w:hAnsi="宋体" w:eastAsia="宋体" w:cs="宋体"/>
          <w:sz w:val="24"/>
          <w:szCs w:val="24"/>
        </w:rPr>
      </w:pPr>
      <w:r>
        <w:rPr>
          <w:rFonts w:hint="eastAsia" w:ascii="宋体" w:hAnsi="宋体" w:eastAsia="宋体" w:cs="宋体"/>
          <w:sz w:val="24"/>
          <w:szCs w:val="24"/>
        </w:rPr>
        <w:t xml:space="preserve">供应商（盖章）： </w:t>
      </w:r>
    </w:p>
    <w:p w14:paraId="52FF989E">
      <w:pPr>
        <w:pageBreakBefore w:val="0"/>
        <w:tabs>
          <w:tab w:val="left" w:pos="840"/>
          <w:tab w:val="left" w:pos="8280"/>
        </w:tabs>
        <w:kinsoku/>
        <w:wordWrap/>
        <w:topLinePunct w:val="0"/>
        <w:bidi w:val="0"/>
        <w:spacing w:line="360" w:lineRule="auto"/>
        <w:ind w:firstLine="948" w:firstLineChars="395"/>
        <w:rPr>
          <w:rFonts w:hint="eastAsia" w:ascii="宋体" w:hAnsi="宋体" w:eastAsia="宋体" w:cs="宋体"/>
          <w:sz w:val="24"/>
          <w:szCs w:val="24"/>
        </w:rPr>
      </w:pPr>
      <w:r>
        <w:rPr>
          <w:rFonts w:hint="eastAsia" w:ascii="宋体" w:hAnsi="宋体" w:eastAsia="宋体" w:cs="宋体"/>
          <w:sz w:val="24"/>
          <w:szCs w:val="24"/>
        </w:rPr>
        <w:t xml:space="preserve">法定代表人或被授权人（签名或盖章）： </w:t>
      </w:r>
    </w:p>
    <w:p w14:paraId="328EBEB7">
      <w:pPr>
        <w:pageBreakBefore w:val="0"/>
        <w:kinsoku/>
        <w:wordWrap/>
        <w:topLinePunct w:val="0"/>
        <w:bidi w:val="0"/>
        <w:spacing w:line="360" w:lineRule="auto"/>
        <w:ind w:firstLine="2520" w:firstLineChars="1050"/>
        <w:rPr>
          <w:rFonts w:hint="eastAsia" w:ascii="宋体" w:hAnsi="宋体" w:eastAsia="宋体" w:cs="宋体"/>
          <w:sz w:val="24"/>
          <w:szCs w:val="24"/>
        </w:rPr>
      </w:pPr>
    </w:p>
    <w:p w14:paraId="293739BD">
      <w:pPr>
        <w:pageBreakBefore w:val="0"/>
        <w:kinsoku/>
        <w:wordWrap/>
        <w:topLinePunct w:val="0"/>
        <w:bidi w:val="0"/>
        <w:spacing w:line="360" w:lineRule="auto"/>
        <w:rPr>
          <w:rFonts w:hint="eastAsia" w:ascii="宋体" w:hAnsi="宋体" w:eastAsia="宋体" w:cs="宋体"/>
          <w:sz w:val="24"/>
          <w:szCs w:val="24"/>
        </w:rPr>
      </w:pPr>
    </w:p>
    <w:p w14:paraId="46AED789">
      <w:pPr>
        <w:pageBreakBefore w:val="0"/>
        <w:kinsoku/>
        <w:wordWrap/>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二 ○二五年  月  日</w:t>
      </w:r>
    </w:p>
    <w:p w14:paraId="3C8F6E5F">
      <w:pPr>
        <w:pageBreakBefore w:val="0"/>
        <w:kinsoku/>
        <w:wordWrap/>
        <w:topLinePunct w:val="0"/>
        <w:bidi w:val="0"/>
        <w:spacing w:line="360" w:lineRule="auto"/>
        <w:rPr>
          <w:rFonts w:hint="eastAsia" w:ascii="宋体" w:hAnsi="宋体" w:eastAsia="宋体" w:cs="宋体"/>
          <w:sz w:val="24"/>
          <w:szCs w:val="24"/>
        </w:rPr>
      </w:pPr>
    </w:p>
    <w:p w14:paraId="658A16EA">
      <w:pPr>
        <w:pageBreakBefore w:val="0"/>
        <w:kinsoku/>
        <w:wordWrap/>
        <w:topLinePunct w:val="0"/>
        <w:bidi w:val="0"/>
        <w:spacing w:line="360" w:lineRule="auto"/>
        <w:rPr>
          <w:rFonts w:hint="eastAsia" w:ascii="宋体" w:hAnsi="宋体" w:eastAsia="宋体" w:cs="宋体"/>
          <w:sz w:val="24"/>
          <w:szCs w:val="24"/>
        </w:rPr>
      </w:pPr>
    </w:p>
    <w:p w14:paraId="7D9DF821">
      <w:pPr>
        <w:pageBreakBefore w:val="0"/>
        <w:kinsoku/>
        <w:wordWrap/>
        <w:topLinePunct w:val="0"/>
        <w:bidi w:val="0"/>
        <w:spacing w:line="360" w:lineRule="auto"/>
        <w:rPr>
          <w:rFonts w:hint="eastAsia" w:ascii="宋体" w:hAnsi="宋体" w:eastAsia="宋体" w:cs="宋体"/>
          <w:sz w:val="24"/>
          <w:szCs w:val="24"/>
        </w:rPr>
      </w:pPr>
    </w:p>
    <w:p w14:paraId="3045041F">
      <w:pPr>
        <w:pageBreakBefore w:val="0"/>
        <w:kinsoku/>
        <w:wordWrap/>
        <w:topLinePunct w:val="0"/>
        <w:bidi w:val="0"/>
        <w:spacing w:line="360" w:lineRule="auto"/>
        <w:rPr>
          <w:rFonts w:hint="eastAsia" w:ascii="宋体" w:hAnsi="宋体" w:eastAsia="宋体" w:cs="宋体"/>
          <w:b/>
          <w:bCs/>
          <w:sz w:val="24"/>
          <w:szCs w:val="24"/>
        </w:rPr>
      </w:pPr>
    </w:p>
    <w:p w14:paraId="62BBF619">
      <w:pPr>
        <w:pageBreakBefore w:val="0"/>
        <w:kinsoku/>
        <w:wordWrap/>
        <w:topLinePunct w:val="0"/>
        <w:bidi w:val="0"/>
        <w:spacing w:line="360" w:lineRule="auto"/>
        <w:rPr>
          <w:rFonts w:hint="eastAsia" w:ascii="宋体" w:hAnsi="宋体" w:eastAsia="宋体" w:cs="宋体"/>
          <w:b/>
          <w:bCs/>
          <w:sz w:val="24"/>
          <w:szCs w:val="24"/>
        </w:rPr>
      </w:pPr>
    </w:p>
    <w:p w14:paraId="5FDCF8F1">
      <w:pPr>
        <w:pageBreakBefore w:val="0"/>
        <w:kinsoku/>
        <w:wordWrap/>
        <w:topLinePunct w:val="0"/>
        <w:bidi w:val="0"/>
        <w:spacing w:line="360" w:lineRule="auto"/>
        <w:rPr>
          <w:rFonts w:hint="eastAsia" w:ascii="宋体" w:hAnsi="宋体" w:eastAsia="宋体" w:cs="宋体"/>
          <w:b/>
          <w:bCs/>
          <w:sz w:val="24"/>
          <w:szCs w:val="24"/>
        </w:rPr>
      </w:pPr>
    </w:p>
    <w:p w14:paraId="39AE035D">
      <w:pPr>
        <w:pageBreakBefore w:val="0"/>
        <w:kinsoku/>
        <w:wordWrap/>
        <w:topLinePunct w:val="0"/>
        <w:bidi w:val="0"/>
        <w:spacing w:line="360" w:lineRule="auto"/>
        <w:rPr>
          <w:rFonts w:hint="eastAsia" w:ascii="宋体" w:hAnsi="宋体" w:eastAsia="宋体" w:cs="宋体"/>
          <w:b/>
          <w:bCs/>
          <w:sz w:val="24"/>
          <w:szCs w:val="24"/>
        </w:rPr>
      </w:pPr>
    </w:p>
    <w:p w14:paraId="13ED5F90">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b/>
          <w:bCs/>
          <w:sz w:val="24"/>
          <w:szCs w:val="24"/>
        </w:rPr>
        <w:t>附件2：</w:t>
      </w:r>
      <w:r>
        <w:rPr>
          <w:rFonts w:hint="eastAsia" w:ascii="宋体" w:hAnsi="宋体" w:eastAsia="宋体" w:cs="宋体"/>
          <w:sz w:val="24"/>
          <w:szCs w:val="24"/>
        </w:rPr>
        <w:t>有效的营业执照、组织机构代码证、税务登记证（或三证合一的有效证件）复印件加盖公章的扫描件；</w:t>
      </w:r>
    </w:p>
    <w:p w14:paraId="1477D548">
      <w:pPr>
        <w:pStyle w:val="2"/>
        <w:pageBreakBefore w:val="0"/>
        <w:kinsoku/>
        <w:wordWrap/>
        <w:topLinePunct w:val="0"/>
        <w:bidi w:val="0"/>
        <w:spacing w:line="360" w:lineRule="auto"/>
        <w:rPr>
          <w:rFonts w:hint="eastAsia" w:ascii="宋体" w:hAnsi="宋体" w:eastAsia="宋体" w:cs="宋体"/>
          <w:sz w:val="24"/>
          <w:szCs w:val="24"/>
        </w:rPr>
      </w:pPr>
    </w:p>
    <w:p w14:paraId="543DE6F3">
      <w:pPr>
        <w:pStyle w:val="2"/>
        <w:pageBreakBefore w:val="0"/>
        <w:kinsoku/>
        <w:wordWrap/>
        <w:topLinePunct w:val="0"/>
        <w:bidi w:val="0"/>
        <w:spacing w:line="360" w:lineRule="auto"/>
        <w:rPr>
          <w:rFonts w:hint="eastAsia" w:ascii="宋体" w:hAnsi="宋体" w:eastAsia="宋体" w:cs="宋体"/>
          <w:sz w:val="24"/>
          <w:szCs w:val="24"/>
        </w:rPr>
      </w:pPr>
    </w:p>
    <w:p w14:paraId="65D1D02B">
      <w:pPr>
        <w:pStyle w:val="2"/>
        <w:pageBreakBefore w:val="0"/>
        <w:kinsoku/>
        <w:wordWrap/>
        <w:topLinePunct w:val="0"/>
        <w:bidi w:val="0"/>
        <w:spacing w:line="360" w:lineRule="auto"/>
        <w:rPr>
          <w:rFonts w:hint="eastAsia" w:ascii="宋体" w:hAnsi="宋体" w:eastAsia="宋体" w:cs="宋体"/>
          <w:sz w:val="24"/>
          <w:szCs w:val="24"/>
        </w:rPr>
      </w:pPr>
    </w:p>
    <w:p w14:paraId="3D2BDDEF">
      <w:pPr>
        <w:pStyle w:val="2"/>
        <w:pageBreakBefore w:val="0"/>
        <w:kinsoku/>
        <w:wordWrap/>
        <w:topLinePunct w:val="0"/>
        <w:bidi w:val="0"/>
        <w:spacing w:line="360" w:lineRule="auto"/>
        <w:rPr>
          <w:rFonts w:hint="eastAsia" w:ascii="宋体" w:hAnsi="宋体" w:eastAsia="宋体" w:cs="宋体"/>
          <w:sz w:val="24"/>
          <w:szCs w:val="24"/>
        </w:rPr>
      </w:pPr>
    </w:p>
    <w:p w14:paraId="56EDEB45">
      <w:pPr>
        <w:pStyle w:val="2"/>
        <w:pageBreakBefore w:val="0"/>
        <w:kinsoku/>
        <w:wordWrap/>
        <w:topLinePunct w:val="0"/>
        <w:bidi w:val="0"/>
        <w:spacing w:line="360" w:lineRule="auto"/>
        <w:rPr>
          <w:rFonts w:hint="eastAsia" w:ascii="宋体" w:hAnsi="宋体" w:eastAsia="宋体" w:cs="宋体"/>
          <w:sz w:val="24"/>
          <w:szCs w:val="24"/>
        </w:rPr>
      </w:pPr>
    </w:p>
    <w:p w14:paraId="0067A0EB">
      <w:pPr>
        <w:pStyle w:val="2"/>
        <w:pageBreakBefore w:val="0"/>
        <w:kinsoku/>
        <w:wordWrap/>
        <w:topLinePunct w:val="0"/>
        <w:bidi w:val="0"/>
        <w:spacing w:line="360" w:lineRule="auto"/>
        <w:rPr>
          <w:rFonts w:hint="eastAsia" w:ascii="宋体" w:hAnsi="宋体" w:eastAsia="宋体" w:cs="宋体"/>
          <w:sz w:val="24"/>
          <w:szCs w:val="24"/>
        </w:rPr>
      </w:pPr>
    </w:p>
    <w:p w14:paraId="22950B99">
      <w:pPr>
        <w:pStyle w:val="2"/>
        <w:pageBreakBefore w:val="0"/>
        <w:kinsoku/>
        <w:wordWrap/>
        <w:topLinePunct w:val="0"/>
        <w:bidi w:val="0"/>
        <w:spacing w:line="360" w:lineRule="auto"/>
        <w:rPr>
          <w:rFonts w:hint="eastAsia" w:ascii="宋体" w:hAnsi="宋体" w:eastAsia="宋体" w:cs="宋体"/>
          <w:sz w:val="24"/>
          <w:szCs w:val="24"/>
        </w:rPr>
      </w:pPr>
    </w:p>
    <w:p w14:paraId="4AEAB736">
      <w:pPr>
        <w:pStyle w:val="2"/>
        <w:pageBreakBefore w:val="0"/>
        <w:kinsoku/>
        <w:wordWrap/>
        <w:topLinePunct w:val="0"/>
        <w:bidi w:val="0"/>
        <w:spacing w:line="360" w:lineRule="auto"/>
        <w:rPr>
          <w:rFonts w:hint="eastAsia" w:ascii="宋体" w:hAnsi="宋体" w:eastAsia="宋体" w:cs="宋体"/>
          <w:sz w:val="24"/>
          <w:szCs w:val="24"/>
        </w:rPr>
      </w:pPr>
    </w:p>
    <w:p w14:paraId="2983778C">
      <w:pPr>
        <w:pStyle w:val="2"/>
        <w:pageBreakBefore w:val="0"/>
        <w:kinsoku/>
        <w:wordWrap/>
        <w:topLinePunct w:val="0"/>
        <w:bidi w:val="0"/>
        <w:spacing w:line="360" w:lineRule="auto"/>
        <w:rPr>
          <w:rFonts w:hint="eastAsia" w:ascii="宋体" w:hAnsi="宋体" w:eastAsia="宋体" w:cs="宋体"/>
          <w:sz w:val="24"/>
          <w:szCs w:val="24"/>
        </w:rPr>
      </w:pPr>
    </w:p>
    <w:p w14:paraId="274B4215">
      <w:pPr>
        <w:pStyle w:val="2"/>
        <w:pageBreakBefore w:val="0"/>
        <w:kinsoku/>
        <w:wordWrap/>
        <w:topLinePunct w:val="0"/>
        <w:bidi w:val="0"/>
        <w:spacing w:line="360" w:lineRule="auto"/>
        <w:rPr>
          <w:rFonts w:hint="eastAsia" w:ascii="宋体" w:hAnsi="宋体" w:eastAsia="宋体" w:cs="宋体"/>
          <w:sz w:val="24"/>
          <w:szCs w:val="24"/>
        </w:rPr>
      </w:pPr>
    </w:p>
    <w:p w14:paraId="6FC6D68E">
      <w:pPr>
        <w:pStyle w:val="2"/>
        <w:pageBreakBefore w:val="0"/>
        <w:kinsoku/>
        <w:wordWrap/>
        <w:topLinePunct w:val="0"/>
        <w:bidi w:val="0"/>
        <w:spacing w:line="360" w:lineRule="auto"/>
        <w:rPr>
          <w:rFonts w:hint="eastAsia" w:ascii="宋体" w:hAnsi="宋体" w:eastAsia="宋体" w:cs="宋体"/>
          <w:sz w:val="24"/>
          <w:szCs w:val="24"/>
        </w:rPr>
      </w:pPr>
    </w:p>
    <w:p w14:paraId="6F63014B">
      <w:pPr>
        <w:pStyle w:val="2"/>
        <w:pageBreakBefore w:val="0"/>
        <w:kinsoku/>
        <w:wordWrap/>
        <w:topLinePunct w:val="0"/>
        <w:bidi w:val="0"/>
        <w:spacing w:line="360" w:lineRule="auto"/>
        <w:rPr>
          <w:rFonts w:hint="eastAsia" w:ascii="宋体" w:hAnsi="宋体" w:eastAsia="宋体" w:cs="宋体"/>
          <w:sz w:val="24"/>
          <w:szCs w:val="24"/>
        </w:rPr>
      </w:pPr>
    </w:p>
    <w:p w14:paraId="2970A970">
      <w:pPr>
        <w:pStyle w:val="2"/>
        <w:pageBreakBefore w:val="0"/>
        <w:kinsoku/>
        <w:wordWrap/>
        <w:topLinePunct w:val="0"/>
        <w:bidi w:val="0"/>
        <w:spacing w:line="360" w:lineRule="auto"/>
        <w:rPr>
          <w:rFonts w:hint="eastAsia" w:ascii="宋体" w:hAnsi="宋体" w:eastAsia="宋体" w:cs="宋体"/>
          <w:sz w:val="24"/>
          <w:szCs w:val="24"/>
        </w:rPr>
      </w:pPr>
    </w:p>
    <w:p w14:paraId="1491F924">
      <w:pPr>
        <w:pStyle w:val="2"/>
        <w:pageBreakBefore w:val="0"/>
        <w:kinsoku/>
        <w:wordWrap/>
        <w:topLinePunct w:val="0"/>
        <w:bidi w:val="0"/>
        <w:spacing w:line="360" w:lineRule="auto"/>
        <w:rPr>
          <w:rFonts w:hint="eastAsia" w:ascii="宋体" w:hAnsi="宋体" w:eastAsia="宋体" w:cs="宋体"/>
          <w:sz w:val="24"/>
          <w:szCs w:val="24"/>
        </w:rPr>
      </w:pPr>
    </w:p>
    <w:p w14:paraId="2010F51A">
      <w:pPr>
        <w:pStyle w:val="2"/>
        <w:pageBreakBefore w:val="0"/>
        <w:kinsoku/>
        <w:wordWrap/>
        <w:topLinePunct w:val="0"/>
        <w:bidi w:val="0"/>
        <w:spacing w:line="360" w:lineRule="auto"/>
        <w:rPr>
          <w:rFonts w:hint="eastAsia" w:ascii="宋体" w:hAnsi="宋体" w:eastAsia="宋体" w:cs="宋体"/>
          <w:sz w:val="24"/>
          <w:szCs w:val="24"/>
        </w:rPr>
      </w:pPr>
    </w:p>
    <w:p w14:paraId="59AC1AA4">
      <w:pPr>
        <w:pStyle w:val="2"/>
        <w:pageBreakBefore w:val="0"/>
        <w:kinsoku/>
        <w:wordWrap/>
        <w:topLinePunct w:val="0"/>
        <w:bidi w:val="0"/>
        <w:spacing w:line="360" w:lineRule="auto"/>
        <w:rPr>
          <w:rFonts w:hint="eastAsia" w:ascii="宋体" w:hAnsi="宋体" w:eastAsia="宋体" w:cs="宋体"/>
          <w:sz w:val="24"/>
          <w:szCs w:val="24"/>
        </w:rPr>
      </w:pPr>
    </w:p>
    <w:p w14:paraId="69EAD1EB">
      <w:pPr>
        <w:pStyle w:val="2"/>
        <w:pageBreakBefore w:val="0"/>
        <w:kinsoku/>
        <w:wordWrap/>
        <w:topLinePunct w:val="0"/>
        <w:bidi w:val="0"/>
        <w:spacing w:line="360" w:lineRule="auto"/>
        <w:rPr>
          <w:rFonts w:hint="eastAsia" w:ascii="宋体" w:hAnsi="宋体" w:eastAsia="宋体" w:cs="宋体"/>
          <w:sz w:val="24"/>
          <w:szCs w:val="24"/>
        </w:rPr>
      </w:pPr>
    </w:p>
    <w:p w14:paraId="571BD22F">
      <w:pPr>
        <w:pStyle w:val="2"/>
        <w:pageBreakBefore w:val="0"/>
        <w:kinsoku/>
        <w:wordWrap/>
        <w:topLinePunct w:val="0"/>
        <w:bidi w:val="0"/>
        <w:spacing w:line="360" w:lineRule="auto"/>
        <w:rPr>
          <w:rFonts w:hint="eastAsia" w:ascii="宋体" w:hAnsi="宋体" w:eastAsia="宋体" w:cs="宋体"/>
          <w:sz w:val="24"/>
          <w:szCs w:val="24"/>
        </w:rPr>
      </w:pPr>
    </w:p>
    <w:p w14:paraId="45E3BBD7">
      <w:pPr>
        <w:pStyle w:val="2"/>
        <w:pageBreakBefore w:val="0"/>
        <w:kinsoku/>
        <w:wordWrap/>
        <w:topLinePunct w:val="0"/>
        <w:bidi w:val="0"/>
        <w:spacing w:line="360" w:lineRule="auto"/>
        <w:rPr>
          <w:rFonts w:hint="eastAsia" w:ascii="宋体" w:hAnsi="宋体" w:eastAsia="宋体" w:cs="宋体"/>
          <w:sz w:val="24"/>
          <w:szCs w:val="24"/>
        </w:rPr>
      </w:pPr>
    </w:p>
    <w:p w14:paraId="0CA2A664">
      <w:pPr>
        <w:pStyle w:val="2"/>
        <w:pageBreakBefore w:val="0"/>
        <w:kinsoku/>
        <w:wordWrap/>
        <w:topLinePunct w:val="0"/>
        <w:bidi w:val="0"/>
        <w:spacing w:line="360" w:lineRule="auto"/>
        <w:rPr>
          <w:rFonts w:hint="eastAsia" w:ascii="宋体" w:hAnsi="宋体" w:eastAsia="宋体" w:cs="宋体"/>
          <w:sz w:val="24"/>
          <w:szCs w:val="24"/>
        </w:rPr>
      </w:pPr>
    </w:p>
    <w:p w14:paraId="3B7DED22">
      <w:pPr>
        <w:pStyle w:val="2"/>
        <w:pageBreakBefore w:val="0"/>
        <w:kinsoku/>
        <w:wordWrap/>
        <w:topLinePunct w:val="0"/>
        <w:bidi w:val="0"/>
        <w:spacing w:line="360" w:lineRule="auto"/>
        <w:rPr>
          <w:rFonts w:hint="eastAsia" w:ascii="宋体" w:hAnsi="宋体" w:eastAsia="宋体" w:cs="宋体"/>
          <w:sz w:val="24"/>
          <w:szCs w:val="24"/>
        </w:rPr>
      </w:pPr>
    </w:p>
    <w:p w14:paraId="01D4EFBA">
      <w:pPr>
        <w:pStyle w:val="2"/>
        <w:pageBreakBefore w:val="0"/>
        <w:kinsoku/>
        <w:wordWrap/>
        <w:topLinePunct w:val="0"/>
        <w:bidi w:val="0"/>
        <w:spacing w:line="360" w:lineRule="auto"/>
        <w:rPr>
          <w:rFonts w:hint="eastAsia" w:ascii="宋体" w:hAnsi="宋体" w:eastAsia="宋体" w:cs="宋体"/>
          <w:sz w:val="24"/>
          <w:szCs w:val="24"/>
        </w:rPr>
      </w:pPr>
    </w:p>
    <w:p w14:paraId="11B503BA">
      <w:pPr>
        <w:pStyle w:val="2"/>
        <w:pageBreakBefore w:val="0"/>
        <w:kinsoku/>
        <w:wordWrap/>
        <w:topLinePunct w:val="0"/>
        <w:bidi w:val="0"/>
        <w:spacing w:line="360" w:lineRule="auto"/>
        <w:rPr>
          <w:rFonts w:hint="eastAsia" w:ascii="宋体" w:hAnsi="宋体" w:eastAsia="宋体" w:cs="宋体"/>
          <w:sz w:val="24"/>
          <w:szCs w:val="24"/>
        </w:rPr>
      </w:pPr>
    </w:p>
    <w:p w14:paraId="469A5BAA">
      <w:pPr>
        <w:pStyle w:val="2"/>
        <w:pageBreakBefore w:val="0"/>
        <w:kinsoku/>
        <w:wordWrap/>
        <w:topLinePunct w:val="0"/>
        <w:bidi w:val="0"/>
        <w:spacing w:line="360" w:lineRule="auto"/>
        <w:rPr>
          <w:rFonts w:hint="eastAsia" w:ascii="宋体" w:hAnsi="宋体" w:eastAsia="宋体" w:cs="宋体"/>
          <w:sz w:val="24"/>
          <w:szCs w:val="24"/>
        </w:rPr>
      </w:pPr>
    </w:p>
    <w:p w14:paraId="5CBCFD1B">
      <w:pPr>
        <w:pStyle w:val="2"/>
        <w:pageBreakBefore w:val="0"/>
        <w:kinsoku/>
        <w:wordWrap/>
        <w:topLinePunct w:val="0"/>
        <w:bidi w:val="0"/>
        <w:spacing w:line="360" w:lineRule="auto"/>
        <w:rPr>
          <w:rFonts w:hint="eastAsia" w:ascii="宋体" w:hAnsi="宋体" w:eastAsia="宋体" w:cs="宋体"/>
          <w:sz w:val="24"/>
          <w:szCs w:val="24"/>
        </w:rPr>
      </w:pPr>
    </w:p>
    <w:p w14:paraId="20945FF7">
      <w:pPr>
        <w:pStyle w:val="2"/>
        <w:pageBreakBefore w:val="0"/>
        <w:kinsoku/>
        <w:wordWrap/>
        <w:topLinePunct w:val="0"/>
        <w:bidi w:val="0"/>
        <w:spacing w:line="360" w:lineRule="auto"/>
        <w:rPr>
          <w:rFonts w:hint="eastAsia" w:ascii="宋体" w:hAnsi="宋体" w:eastAsia="宋体" w:cs="宋体"/>
          <w:sz w:val="24"/>
          <w:szCs w:val="24"/>
        </w:rPr>
      </w:pPr>
    </w:p>
    <w:p w14:paraId="106CDCE5">
      <w:pPr>
        <w:pStyle w:val="2"/>
        <w:pageBreakBefore w:val="0"/>
        <w:kinsoku/>
        <w:wordWrap/>
        <w:topLinePunct w:val="0"/>
        <w:bidi w:val="0"/>
        <w:spacing w:line="360" w:lineRule="auto"/>
        <w:rPr>
          <w:rFonts w:hint="eastAsia" w:ascii="宋体" w:hAnsi="宋体" w:eastAsia="宋体" w:cs="宋体"/>
          <w:sz w:val="24"/>
          <w:szCs w:val="24"/>
        </w:rPr>
      </w:pPr>
    </w:p>
    <w:p w14:paraId="6C6FAC71">
      <w:pPr>
        <w:pageBreakBefore w:val="0"/>
        <w:kinsoku/>
        <w:wordWrap/>
        <w:topLinePunct w:val="0"/>
        <w:bidi w:val="0"/>
        <w:spacing w:line="360" w:lineRule="auto"/>
        <w:rPr>
          <w:rFonts w:hint="eastAsia" w:ascii="宋体" w:hAnsi="宋体" w:eastAsia="宋体" w:cs="宋体"/>
          <w:b/>
          <w:bCs/>
          <w:sz w:val="24"/>
          <w:szCs w:val="24"/>
        </w:rPr>
      </w:pPr>
    </w:p>
    <w:p w14:paraId="338E0309">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b/>
          <w:bCs/>
          <w:sz w:val="24"/>
          <w:szCs w:val="24"/>
        </w:rPr>
        <w:t>附件3：</w:t>
      </w:r>
      <w:r>
        <w:rPr>
          <w:rFonts w:hint="eastAsia" w:ascii="宋体" w:hAnsi="宋体" w:eastAsia="宋体" w:cs="宋体"/>
          <w:sz w:val="24"/>
          <w:szCs w:val="24"/>
        </w:rPr>
        <w:t>企业法人授权委托书加盖公章的扫描件；</w:t>
      </w:r>
    </w:p>
    <w:p w14:paraId="6A174D8E">
      <w:pPr>
        <w:pageBreakBefore w:val="0"/>
        <w:kinsoku/>
        <w:wordWrap/>
        <w:topLinePunct w:val="0"/>
        <w:bidi w:val="0"/>
        <w:spacing w:line="360" w:lineRule="auto"/>
        <w:rPr>
          <w:rFonts w:hint="eastAsia" w:ascii="宋体" w:hAnsi="宋体" w:eastAsia="宋体" w:cs="宋体"/>
          <w:sz w:val="24"/>
          <w:szCs w:val="24"/>
        </w:rPr>
      </w:pPr>
    </w:p>
    <w:p w14:paraId="1B071FE6">
      <w:pPr>
        <w:pageBreakBefore w:val="0"/>
        <w:kinsoku/>
        <w:wordWrap/>
        <w:topLinePunct w:val="0"/>
        <w:bidi w:val="0"/>
        <w:adjustRightInd w:val="0"/>
        <w:spacing w:line="360" w:lineRule="auto"/>
        <w:jc w:val="center"/>
        <w:textAlignment w:val="baseline"/>
        <w:rPr>
          <w:rFonts w:hint="eastAsia" w:ascii="宋体" w:hAnsi="宋体" w:eastAsia="宋体" w:cs="宋体"/>
          <w:b/>
          <w:sz w:val="24"/>
          <w:szCs w:val="24"/>
        </w:rPr>
      </w:pPr>
      <w:r>
        <w:rPr>
          <w:rFonts w:hint="eastAsia" w:ascii="宋体" w:hAnsi="宋体" w:eastAsia="宋体" w:cs="宋体"/>
          <w:b/>
          <w:sz w:val="24"/>
          <w:szCs w:val="24"/>
        </w:rPr>
        <w:t>授权委托书</w:t>
      </w:r>
    </w:p>
    <w:p w14:paraId="7B5F6FD3">
      <w:pPr>
        <w:pageBreakBefore w:val="0"/>
        <w:kinsoku/>
        <w:wordWrap/>
        <w:topLinePunct w:val="0"/>
        <w:bidi w:val="0"/>
        <w:spacing w:line="360" w:lineRule="auto"/>
        <w:ind w:left="1260"/>
        <w:rPr>
          <w:rFonts w:hint="eastAsia" w:ascii="宋体" w:hAnsi="宋体" w:eastAsia="宋体" w:cs="宋体"/>
          <w:sz w:val="24"/>
          <w:szCs w:val="24"/>
        </w:rPr>
      </w:pPr>
    </w:p>
    <w:p w14:paraId="1751F77A">
      <w:pPr>
        <w:pageBreakBefore w:val="0"/>
        <w:kinsoku/>
        <w:wordWrap/>
        <w:topLinePunct w:val="0"/>
        <w:bidi w:val="0"/>
        <w:adjustRightInd w:val="0"/>
        <w:snapToGrid w:val="0"/>
        <w:spacing w:line="360" w:lineRule="auto"/>
        <w:ind w:firstLine="516" w:firstLineChars="215"/>
        <w:rPr>
          <w:rFonts w:hint="eastAsia" w:ascii="宋体" w:hAnsi="宋体" w:eastAsia="宋体" w:cs="宋体"/>
          <w:sz w:val="24"/>
          <w:szCs w:val="24"/>
        </w:rPr>
      </w:pPr>
      <w:r>
        <w:rPr>
          <w:rFonts w:hint="eastAsia" w:ascii="宋体" w:hAnsi="宋体" w:eastAsia="宋体" w:cs="宋体"/>
          <w:sz w:val="24"/>
          <w:szCs w:val="24"/>
        </w:rPr>
        <w:t>本授权委托书声明：</w:t>
      </w:r>
    </w:p>
    <w:p w14:paraId="3E8FC6AE">
      <w:pPr>
        <w:pageBreakBefore w:val="0"/>
        <w:kinsoku/>
        <w:wordWrap/>
        <w:topLinePunct w:val="0"/>
        <w:bidi w:val="0"/>
        <w:adjustRightInd w:val="0"/>
        <w:snapToGrid w:val="0"/>
        <w:spacing w:line="360" w:lineRule="auto"/>
        <w:ind w:firstLine="516" w:firstLineChars="215"/>
        <w:rPr>
          <w:rFonts w:hint="eastAsia" w:ascii="宋体" w:hAnsi="宋体" w:eastAsia="宋体" w:cs="宋体"/>
          <w:sz w:val="24"/>
          <w:szCs w:val="24"/>
        </w:rPr>
      </w:pPr>
      <w:r>
        <w:rPr>
          <w:rFonts w:hint="eastAsia" w:ascii="宋体" w:hAnsi="宋体" w:eastAsia="宋体" w:cs="宋体"/>
          <w:sz w:val="24"/>
          <w:szCs w:val="24"/>
        </w:rPr>
        <w:t>我 ___________(姓名)系_________________（</w:t>
      </w:r>
      <w:r>
        <w:rPr>
          <w:rFonts w:hint="eastAsia" w:ascii="宋体" w:hAnsi="宋体" w:eastAsia="宋体" w:cs="宋体"/>
          <w:sz w:val="24"/>
          <w:szCs w:val="24"/>
          <w:lang w:val="en-US"/>
        </w:rPr>
        <w:t>供应商</w:t>
      </w:r>
      <w:r>
        <w:rPr>
          <w:rFonts w:hint="eastAsia" w:ascii="宋体" w:hAnsi="宋体" w:eastAsia="宋体" w:cs="宋体"/>
          <w:sz w:val="24"/>
          <w:szCs w:val="24"/>
        </w:rPr>
        <w:t>名称）的法定代表人，现授权委托__________________（被授权人的姓名、职务）为本次</w:t>
      </w:r>
      <w:r>
        <w:rPr>
          <w:rFonts w:hint="eastAsia" w:ascii="宋体" w:hAnsi="宋体" w:eastAsia="宋体" w:cs="宋体"/>
          <w:sz w:val="24"/>
          <w:szCs w:val="24"/>
          <w:lang w:val="en-US"/>
        </w:rPr>
        <w:t>采购活动</w:t>
      </w:r>
      <w:r>
        <w:rPr>
          <w:rFonts w:hint="eastAsia" w:ascii="宋体" w:hAnsi="宋体" w:eastAsia="宋体" w:cs="宋体"/>
          <w:sz w:val="24"/>
          <w:szCs w:val="24"/>
        </w:rPr>
        <w:t>中我单位的合法代理人，全权负责参加本次</w:t>
      </w:r>
      <w:r>
        <w:rPr>
          <w:rFonts w:hint="eastAsia" w:ascii="宋体" w:hAnsi="宋体" w:eastAsia="宋体" w:cs="宋体"/>
          <w:sz w:val="24"/>
          <w:szCs w:val="24"/>
          <w:lang w:val="en-US"/>
        </w:rPr>
        <w:t>询</w:t>
      </w:r>
      <w:r>
        <w:rPr>
          <w:rFonts w:hint="eastAsia" w:ascii="宋体" w:hAnsi="宋体" w:eastAsia="宋体" w:cs="宋体"/>
          <w:sz w:val="24"/>
          <w:szCs w:val="24"/>
        </w:rPr>
        <w:t>价、签订合约以及与之相关的各项工作。本单位对被授权人的签名负全部责任。</w:t>
      </w:r>
    </w:p>
    <w:p w14:paraId="2CC5E65E">
      <w:pPr>
        <w:pageBreakBefore w:val="0"/>
        <w:kinsoku/>
        <w:wordWrap/>
        <w:topLinePunct w:val="0"/>
        <w:bidi w:val="0"/>
        <w:adjustRightInd w:val="0"/>
        <w:snapToGrid w:val="0"/>
        <w:spacing w:line="360" w:lineRule="auto"/>
        <w:ind w:firstLine="397"/>
        <w:rPr>
          <w:rFonts w:hint="eastAsia" w:ascii="宋体" w:hAnsi="宋体" w:eastAsia="宋体" w:cs="宋体"/>
          <w:sz w:val="24"/>
          <w:szCs w:val="24"/>
        </w:rPr>
      </w:pPr>
      <w:r>
        <w:rPr>
          <w:rFonts w:hint="eastAsia" w:ascii="宋体" w:hAnsi="宋体" w:eastAsia="宋体" w:cs="宋体"/>
          <w:sz w:val="24"/>
          <w:szCs w:val="24"/>
        </w:rPr>
        <w:t>本授权书于__________年_______月________日签字生效，特此声明。</w:t>
      </w:r>
    </w:p>
    <w:p w14:paraId="3F235FDE">
      <w:pPr>
        <w:pageBreakBefore w:val="0"/>
        <w:kinsoku/>
        <w:wordWrap/>
        <w:topLinePunct w:val="0"/>
        <w:bidi w:val="0"/>
        <w:adjustRightInd w:val="0"/>
        <w:snapToGrid w:val="0"/>
        <w:spacing w:line="360" w:lineRule="auto"/>
        <w:rPr>
          <w:rFonts w:hint="eastAsia" w:ascii="宋体" w:hAnsi="宋体" w:eastAsia="宋体" w:cs="宋体"/>
          <w:sz w:val="24"/>
          <w:szCs w:val="24"/>
        </w:rPr>
      </w:pPr>
    </w:p>
    <w:p w14:paraId="4B219892">
      <w:pPr>
        <w:pageBreakBefore w:val="0"/>
        <w:kinsoku/>
        <w:wordWrap/>
        <w:topLinePunct w:val="0"/>
        <w:bidi w:val="0"/>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法定代表人签字或签章：                            日期：</w:t>
      </w:r>
    </w:p>
    <w:p w14:paraId="62E6F978">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sz w:val="24"/>
          <w:szCs w:val="24"/>
        </w:rPr>
        <w:t>职务：                                       联系电话：</w:t>
      </w:r>
    </w:p>
    <w:p w14:paraId="51FD6807">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sz w:val="24"/>
          <w:szCs w:val="24"/>
        </w:rPr>
        <w:t>单位名称：                                   地址：</w:t>
      </w:r>
    </w:p>
    <w:p w14:paraId="018CC2EB">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sz w:val="24"/>
          <w:szCs w:val="24"/>
        </w:rPr>
        <w:t>身份证号码：</w:t>
      </w:r>
    </w:p>
    <w:p w14:paraId="101E53D7">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sz w:val="24"/>
          <w:szCs w:val="24"/>
        </w:rPr>
        <w:t>委托代理人（被授权人）签字或签章：           日期：</w:t>
      </w:r>
    </w:p>
    <w:p w14:paraId="768327DC">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sz w:val="24"/>
          <w:szCs w:val="24"/>
        </w:rPr>
        <w:t>职务：                                       联系电话：</w:t>
      </w:r>
    </w:p>
    <w:p w14:paraId="209D1693">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sz w:val="24"/>
          <w:szCs w:val="24"/>
        </w:rPr>
        <w:t>单位名称：                                   地址：</w:t>
      </w:r>
    </w:p>
    <w:p w14:paraId="4577D9FF">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sz w:val="24"/>
          <w:szCs w:val="24"/>
        </w:rPr>
        <w:t>身份证号码：</w:t>
      </w:r>
    </w:p>
    <w:p w14:paraId="21F2E840">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单位公章： </w:t>
      </w:r>
    </w:p>
    <w:p w14:paraId="7EC4A634">
      <w:pPr>
        <w:pageBreakBefore w:val="0"/>
        <w:kinsoku/>
        <w:wordWrap/>
        <w:topLinePunct w:val="0"/>
        <w:bidi w:val="0"/>
        <w:spacing w:line="360" w:lineRule="auto"/>
        <w:rPr>
          <w:rFonts w:hint="eastAsia" w:ascii="宋体" w:hAnsi="宋体" w:eastAsia="宋体" w:cs="宋体"/>
          <w:sz w:val="24"/>
          <w:szCs w:val="24"/>
        </w:rPr>
      </w:pPr>
    </w:p>
    <w:p w14:paraId="5929199E">
      <w:pPr>
        <w:pageBreakBefore w:val="0"/>
        <w:kinsoku/>
        <w:wordWrap/>
        <w:topLinePunct w:val="0"/>
        <w:bidi w:val="0"/>
        <w:spacing w:line="360" w:lineRule="auto"/>
        <w:rPr>
          <w:rFonts w:hint="eastAsia" w:ascii="宋体" w:hAnsi="宋体" w:eastAsia="宋体" w:cs="宋体"/>
          <w:sz w:val="24"/>
          <w:szCs w:val="24"/>
        </w:rPr>
      </w:pPr>
    </w:p>
    <w:p w14:paraId="67AAC208">
      <w:pPr>
        <w:pageBreakBefore w:val="0"/>
        <w:kinsoku/>
        <w:wordWrap/>
        <w:topLinePunct w:val="0"/>
        <w:bidi w:val="0"/>
        <w:spacing w:line="360" w:lineRule="auto"/>
        <w:rPr>
          <w:rFonts w:hint="eastAsia" w:ascii="宋体" w:hAnsi="宋体" w:eastAsia="宋体" w:cs="宋体"/>
          <w:b/>
          <w:bCs/>
          <w:sz w:val="24"/>
          <w:szCs w:val="24"/>
        </w:rPr>
      </w:pPr>
    </w:p>
    <w:p w14:paraId="7E797797">
      <w:pPr>
        <w:pageBreakBefore w:val="0"/>
        <w:kinsoku/>
        <w:wordWrap/>
        <w:topLinePunct w:val="0"/>
        <w:bidi w:val="0"/>
        <w:spacing w:line="360" w:lineRule="auto"/>
        <w:rPr>
          <w:rFonts w:hint="eastAsia" w:ascii="宋体" w:hAnsi="宋体" w:eastAsia="宋体" w:cs="宋体"/>
          <w:b/>
          <w:bCs/>
          <w:sz w:val="24"/>
          <w:szCs w:val="24"/>
        </w:rPr>
      </w:pPr>
    </w:p>
    <w:p w14:paraId="51CA4920">
      <w:pPr>
        <w:pageBreakBefore w:val="0"/>
        <w:kinsoku/>
        <w:wordWrap/>
        <w:topLinePunct w:val="0"/>
        <w:bidi w:val="0"/>
        <w:spacing w:line="360" w:lineRule="auto"/>
        <w:rPr>
          <w:rFonts w:hint="eastAsia" w:ascii="宋体" w:hAnsi="宋体" w:eastAsia="宋体" w:cs="宋体"/>
          <w:b/>
          <w:bCs/>
          <w:sz w:val="24"/>
          <w:szCs w:val="24"/>
        </w:rPr>
      </w:pPr>
    </w:p>
    <w:p w14:paraId="48A2DD47">
      <w:pPr>
        <w:pageBreakBefore w:val="0"/>
        <w:kinsoku/>
        <w:wordWrap/>
        <w:topLinePunct w:val="0"/>
        <w:bidi w:val="0"/>
        <w:spacing w:line="360" w:lineRule="auto"/>
        <w:rPr>
          <w:rFonts w:hint="eastAsia" w:ascii="宋体" w:hAnsi="宋体" w:eastAsia="宋体" w:cs="宋体"/>
          <w:b/>
          <w:bCs/>
          <w:sz w:val="24"/>
          <w:szCs w:val="24"/>
        </w:rPr>
      </w:pPr>
    </w:p>
    <w:p w14:paraId="1DD5A465">
      <w:pPr>
        <w:pageBreakBefore w:val="0"/>
        <w:kinsoku/>
        <w:wordWrap/>
        <w:topLinePunct w:val="0"/>
        <w:bidi w:val="0"/>
        <w:spacing w:line="360" w:lineRule="auto"/>
        <w:rPr>
          <w:rFonts w:hint="eastAsia" w:ascii="宋体" w:hAnsi="宋体" w:eastAsia="宋体" w:cs="宋体"/>
          <w:b/>
          <w:bCs/>
          <w:sz w:val="24"/>
          <w:szCs w:val="24"/>
        </w:rPr>
      </w:pPr>
    </w:p>
    <w:p w14:paraId="072CE6B4">
      <w:pPr>
        <w:pageBreakBefore w:val="0"/>
        <w:kinsoku/>
        <w:wordWrap/>
        <w:topLinePunct w:val="0"/>
        <w:bidi w:val="0"/>
        <w:spacing w:line="360" w:lineRule="auto"/>
        <w:rPr>
          <w:rFonts w:hint="eastAsia" w:ascii="宋体" w:hAnsi="宋体" w:eastAsia="宋体" w:cs="宋体"/>
          <w:b/>
          <w:bCs/>
          <w:sz w:val="24"/>
          <w:szCs w:val="24"/>
        </w:rPr>
      </w:pPr>
    </w:p>
    <w:p w14:paraId="3AD16727">
      <w:pPr>
        <w:pageBreakBefore w:val="0"/>
        <w:kinsoku/>
        <w:wordWrap/>
        <w:topLinePunct w:val="0"/>
        <w:bidi w:val="0"/>
        <w:spacing w:line="360" w:lineRule="auto"/>
        <w:rPr>
          <w:rFonts w:hint="eastAsia" w:ascii="宋体" w:hAnsi="宋体" w:eastAsia="宋体" w:cs="宋体"/>
          <w:b/>
          <w:bCs/>
          <w:sz w:val="24"/>
          <w:szCs w:val="24"/>
        </w:rPr>
      </w:pPr>
    </w:p>
    <w:p w14:paraId="097B1989">
      <w:pPr>
        <w:pageBreakBefore w:val="0"/>
        <w:kinsoku/>
        <w:wordWrap/>
        <w:topLinePunct w:val="0"/>
        <w:bidi w:val="0"/>
        <w:spacing w:line="360" w:lineRule="auto"/>
        <w:rPr>
          <w:rFonts w:hint="eastAsia" w:ascii="宋体" w:hAnsi="宋体" w:eastAsia="宋体" w:cs="宋体"/>
          <w:sz w:val="24"/>
          <w:szCs w:val="24"/>
        </w:rPr>
      </w:pPr>
    </w:p>
    <w:p w14:paraId="18C89EA3">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b/>
          <w:bCs/>
          <w:sz w:val="24"/>
          <w:szCs w:val="24"/>
        </w:rPr>
        <w:t>附件4：</w:t>
      </w:r>
      <w:r>
        <w:rPr>
          <w:rFonts w:hint="eastAsia" w:ascii="宋体" w:hAnsi="宋体" w:eastAsia="宋体" w:cs="宋体"/>
          <w:sz w:val="24"/>
          <w:szCs w:val="24"/>
        </w:rPr>
        <w:t>授权代表身份证复印件加盖公章的扫描件或法人身份证复印件加盖公章的扫描件；</w:t>
      </w:r>
    </w:p>
    <w:p w14:paraId="637A9DB1">
      <w:pPr>
        <w:pageBreakBefore w:val="0"/>
        <w:kinsoku/>
        <w:wordWrap/>
        <w:overflowPunct w:val="0"/>
        <w:topLinePunct w:val="0"/>
        <w:bidi w:val="0"/>
        <w:adjustRightInd w:val="0"/>
        <w:spacing w:line="360" w:lineRule="auto"/>
        <w:ind w:firstLine="420"/>
        <w:rPr>
          <w:rFonts w:hint="eastAsia" w:ascii="宋体" w:hAnsi="宋体" w:eastAsia="宋体" w:cs="宋体"/>
          <w:b/>
          <w:sz w:val="24"/>
          <w:szCs w:val="24"/>
        </w:rPr>
      </w:pPr>
    </w:p>
    <w:p w14:paraId="72007E44">
      <w:pPr>
        <w:pageBreakBefore w:val="0"/>
        <w:kinsoku/>
        <w:wordWrap/>
        <w:overflowPunct w:val="0"/>
        <w:topLinePunct w:val="0"/>
        <w:bidi w:val="0"/>
        <w:adjustRightInd w:val="0"/>
        <w:spacing w:line="360" w:lineRule="auto"/>
        <w:ind w:firstLine="420"/>
        <w:rPr>
          <w:rFonts w:hint="eastAsia" w:ascii="宋体" w:hAnsi="宋体" w:eastAsia="宋体" w:cs="宋体"/>
          <w:b/>
          <w:sz w:val="24"/>
          <w:szCs w:val="24"/>
        </w:rPr>
      </w:pPr>
    </w:p>
    <w:p w14:paraId="17F8F748">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4533534E">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5AE0B030">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4019595A">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41F2A2BE">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4AD9D021">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37B3DB6C">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3E6DF64A">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52698F95">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3B885EB8">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33A2F432">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03609C63">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5D0A94EC">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7435068A">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66BB0292">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409827D0">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027C132F">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21C1FEC4">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32BFF993">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5B542A5B">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5C4D7E57">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71FC8A23">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02DFEAB8">
      <w:pPr>
        <w:pageBreakBefore w:val="0"/>
        <w:kinsoku/>
        <w:wordWrap/>
        <w:overflowPunct w:val="0"/>
        <w:topLinePunct w:val="0"/>
        <w:bidi w:val="0"/>
        <w:adjustRightInd w:val="0"/>
        <w:spacing w:line="360" w:lineRule="auto"/>
        <w:rPr>
          <w:rFonts w:hint="eastAsia" w:ascii="宋体" w:hAnsi="宋体" w:eastAsia="宋体" w:cs="宋体"/>
          <w:b/>
          <w:sz w:val="24"/>
          <w:szCs w:val="24"/>
        </w:rPr>
      </w:pPr>
    </w:p>
    <w:p w14:paraId="1AFBE922">
      <w:pPr>
        <w:pStyle w:val="12"/>
        <w:rPr>
          <w:rFonts w:hint="eastAsia" w:ascii="宋体" w:hAnsi="宋体" w:eastAsia="宋体" w:cs="宋体"/>
          <w:b/>
          <w:sz w:val="24"/>
          <w:szCs w:val="24"/>
        </w:rPr>
      </w:pPr>
    </w:p>
    <w:p w14:paraId="54EDC389">
      <w:pPr>
        <w:rPr>
          <w:rFonts w:hint="eastAsia" w:ascii="宋体" w:hAnsi="宋体" w:eastAsia="宋体" w:cs="宋体"/>
          <w:b/>
          <w:sz w:val="24"/>
          <w:szCs w:val="24"/>
        </w:rPr>
      </w:pPr>
    </w:p>
    <w:p w14:paraId="0C46D9FA">
      <w:pPr>
        <w:pStyle w:val="12"/>
        <w:rPr>
          <w:rFonts w:hint="eastAsia" w:ascii="宋体" w:hAnsi="宋体" w:eastAsia="宋体" w:cs="宋体"/>
          <w:b/>
          <w:sz w:val="24"/>
          <w:szCs w:val="24"/>
        </w:rPr>
      </w:pPr>
    </w:p>
    <w:p w14:paraId="55A26B3F">
      <w:pPr>
        <w:rPr>
          <w:rFonts w:hint="eastAsia"/>
        </w:rPr>
      </w:pPr>
    </w:p>
    <w:p w14:paraId="5D0FC27B">
      <w:pPr>
        <w:pageBreakBefore w:val="0"/>
        <w:kinsoku/>
        <w:wordWrap/>
        <w:overflowPunct w:val="0"/>
        <w:topLinePunct w:val="0"/>
        <w:bidi w:val="0"/>
        <w:adjustRightInd w:val="0"/>
        <w:spacing w:line="360" w:lineRule="auto"/>
        <w:rPr>
          <w:rFonts w:hint="eastAsia" w:ascii="宋体" w:hAnsi="宋体" w:eastAsia="宋体" w:cs="宋体"/>
          <w:b/>
          <w:sz w:val="24"/>
          <w:szCs w:val="24"/>
        </w:rPr>
      </w:pPr>
      <w:r>
        <w:rPr>
          <w:rFonts w:hint="eastAsia" w:ascii="宋体" w:hAnsi="宋体" w:eastAsia="宋体" w:cs="宋体"/>
          <w:b/>
          <w:sz w:val="24"/>
          <w:szCs w:val="24"/>
        </w:rPr>
        <w:t>附件5：响应函</w:t>
      </w:r>
    </w:p>
    <w:p w14:paraId="40A4DF25">
      <w:pPr>
        <w:pageBreakBefore w:val="0"/>
        <w:kinsoku/>
        <w:wordWrap/>
        <w:overflowPunct w:val="0"/>
        <w:topLinePunct w:val="0"/>
        <w:bidi w:val="0"/>
        <w:adjustRightInd w:val="0"/>
        <w:spacing w:line="360" w:lineRule="auto"/>
        <w:ind w:firstLine="420"/>
        <w:jc w:val="center"/>
        <w:rPr>
          <w:rFonts w:hint="eastAsia" w:ascii="宋体" w:hAnsi="宋体" w:eastAsia="宋体" w:cs="宋体"/>
          <w:b/>
          <w:sz w:val="24"/>
          <w:szCs w:val="24"/>
        </w:rPr>
      </w:pPr>
    </w:p>
    <w:p w14:paraId="10116EF4">
      <w:pPr>
        <w:pageBreakBefore w:val="0"/>
        <w:kinsoku/>
        <w:wordWrap/>
        <w:overflowPunct w:val="0"/>
        <w:topLinePunct w:val="0"/>
        <w:bidi w:val="0"/>
        <w:adjustRightInd w:val="0"/>
        <w:spacing w:line="360" w:lineRule="auto"/>
        <w:ind w:firstLine="420"/>
        <w:jc w:val="center"/>
        <w:rPr>
          <w:rFonts w:hint="eastAsia" w:ascii="宋体" w:hAnsi="宋体" w:eastAsia="宋体" w:cs="宋体"/>
          <w:b/>
          <w:sz w:val="24"/>
          <w:szCs w:val="24"/>
        </w:rPr>
      </w:pPr>
      <w:r>
        <w:rPr>
          <w:rFonts w:hint="eastAsia" w:ascii="宋体" w:hAnsi="宋体" w:eastAsia="宋体" w:cs="宋体"/>
          <w:b/>
          <w:sz w:val="24"/>
          <w:szCs w:val="24"/>
        </w:rPr>
        <w:t>响 应 函</w:t>
      </w:r>
    </w:p>
    <w:p w14:paraId="07DA3852">
      <w:pPr>
        <w:pageBreakBefore w:val="0"/>
        <w:kinsoku/>
        <w:wordWrap/>
        <w:overflowPunct w:val="0"/>
        <w:topLinePunct w:val="0"/>
        <w:bidi w:val="0"/>
        <w:adjustRightInd w:val="0"/>
        <w:spacing w:line="360" w:lineRule="auto"/>
        <w:ind w:firstLine="420"/>
        <w:jc w:val="center"/>
        <w:rPr>
          <w:rFonts w:hint="eastAsia" w:ascii="宋体" w:hAnsi="宋体" w:eastAsia="宋体" w:cs="宋体"/>
          <w:sz w:val="24"/>
          <w:szCs w:val="24"/>
        </w:rPr>
      </w:pPr>
    </w:p>
    <w:p w14:paraId="59AF65AC">
      <w:pPr>
        <w:pageBreakBefore w:val="0"/>
        <w:kinsoku/>
        <w:wordWrap/>
        <w:overflowPunct w:val="0"/>
        <w:topLinePunct w:val="0"/>
        <w:bidi w:val="0"/>
        <w:adjustRightIn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常州工业职业技术学院 </w:t>
      </w:r>
      <w:r>
        <w:rPr>
          <w:rFonts w:hint="eastAsia" w:ascii="宋体" w:hAnsi="宋体" w:eastAsia="宋体" w:cs="宋体"/>
          <w:sz w:val="24"/>
          <w:szCs w:val="24"/>
        </w:rPr>
        <w:t>：</w:t>
      </w:r>
    </w:p>
    <w:p w14:paraId="38DC670E">
      <w:pPr>
        <w:pageBreakBefore w:val="0"/>
        <w:kinsoku/>
        <w:wordWrap/>
        <w:overflowPunct w:val="0"/>
        <w:topLinePunct w:val="0"/>
        <w:bidi w:val="0"/>
        <w:adjustRightInd w:val="0"/>
        <w:spacing w:line="360" w:lineRule="auto"/>
        <w:ind w:firstLine="660"/>
        <w:rPr>
          <w:rFonts w:hint="eastAsia" w:ascii="宋体" w:hAnsi="宋体" w:eastAsia="宋体" w:cs="宋体"/>
          <w:sz w:val="24"/>
          <w:szCs w:val="24"/>
        </w:rPr>
      </w:pPr>
    </w:p>
    <w:p w14:paraId="7A6A4951">
      <w:pPr>
        <w:pageBreakBefore w:val="0"/>
        <w:kinsoku/>
        <w:wordWrap/>
        <w:overflowPunct w:val="0"/>
        <w:topLinePunct w:val="0"/>
        <w:bidi w:val="0"/>
        <w:adjustRightInd w:val="0"/>
        <w:spacing w:line="360" w:lineRule="auto"/>
        <w:ind w:firstLine="660"/>
        <w:rPr>
          <w:rFonts w:hint="eastAsia" w:ascii="宋体" w:hAnsi="宋体" w:eastAsia="宋体" w:cs="宋体"/>
          <w:sz w:val="24"/>
          <w:szCs w:val="24"/>
        </w:rPr>
      </w:pPr>
      <w:r>
        <w:rPr>
          <w:rFonts w:hint="eastAsia" w:ascii="宋体" w:hAnsi="宋体" w:eastAsia="宋体" w:cs="宋体"/>
          <w:sz w:val="24"/>
          <w:szCs w:val="24"/>
        </w:rPr>
        <w:t>本公司愿意参加贵单位组织实施的</w:t>
      </w:r>
      <w:r>
        <w:rPr>
          <w:rFonts w:hint="eastAsia" w:ascii="宋体" w:hAnsi="宋体" w:eastAsia="宋体" w:cs="宋体"/>
          <w:sz w:val="24"/>
          <w:szCs w:val="24"/>
          <w:lang w:val="en-US"/>
        </w:rPr>
        <w:t>采购文件编</w:t>
      </w:r>
      <w:r>
        <w:rPr>
          <w:rFonts w:hint="eastAsia" w:ascii="宋体" w:hAnsi="宋体" w:eastAsia="宋体" w:cs="宋体"/>
          <w:sz w:val="24"/>
          <w:szCs w:val="24"/>
        </w:rPr>
        <w:t>号为</w:t>
      </w:r>
      <w:r>
        <w:rPr>
          <w:rFonts w:hint="eastAsia" w:ascii="宋体" w:hAnsi="宋体" w:eastAsia="宋体" w:cs="宋体"/>
          <w:sz w:val="24"/>
          <w:szCs w:val="24"/>
          <w:u w:val="single"/>
        </w:rPr>
        <w:t xml:space="preserve">          </w:t>
      </w:r>
      <w:r>
        <w:rPr>
          <w:rFonts w:hint="eastAsia" w:ascii="宋体" w:hAnsi="宋体" w:eastAsia="宋体" w:cs="宋体"/>
          <w:sz w:val="24"/>
          <w:szCs w:val="24"/>
        </w:rPr>
        <w:t>号的活动。本公司承诺：</w:t>
      </w:r>
    </w:p>
    <w:p w14:paraId="5A8BA255">
      <w:pPr>
        <w:pageBreakBefore w:val="0"/>
        <w:kinsoku/>
        <w:wordWrap/>
        <w:overflowPunct w:val="0"/>
        <w:topLinePunct w:val="0"/>
        <w:bidi w:val="0"/>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 本公司依法缴纳税收和社会保障资金；</w:t>
      </w:r>
    </w:p>
    <w:p w14:paraId="39DF8519">
      <w:pPr>
        <w:pageBreakBefore w:val="0"/>
        <w:kinsoku/>
        <w:wordWrap/>
        <w:topLinePunct w:val="0"/>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 本公司参加</w:t>
      </w:r>
      <w:r>
        <w:rPr>
          <w:rFonts w:hint="eastAsia" w:ascii="宋体" w:hAnsi="宋体" w:eastAsia="宋体" w:cs="宋体"/>
          <w:sz w:val="24"/>
          <w:szCs w:val="24"/>
          <w:lang w:val="en-US"/>
        </w:rPr>
        <w:t>本次采购</w:t>
      </w:r>
      <w:r>
        <w:rPr>
          <w:rFonts w:hint="eastAsia" w:ascii="宋体" w:hAnsi="宋体" w:eastAsia="宋体" w:cs="宋体"/>
          <w:sz w:val="24"/>
          <w:szCs w:val="24"/>
        </w:rPr>
        <w:t>活动前三年内，在经营活动中无重大违法记录或无不良行为记录，无其他法律、行政法规规定的禁止参与招投标活动的行为；</w:t>
      </w:r>
    </w:p>
    <w:p w14:paraId="4F01F157">
      <w:pPr>
        <w:pageBreakBefore w:val="0"/>
        <w:kinsoku/>
        <w:wordWrap/>
        <w:topLinePunct w:val="0"/>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 本公司提交的</w:t>
      </w:r>
      <w:r>
        <w:rPr>
          <w:rFonts w:hint="eastAsia" w:ascii="宋体" w:hAnsi="宋体" w:eastAsia="宋体" w:cs="宋体"/>
          <w:sz w:val="24"/>
          <w:szCs w:val="24"/>
          <w:lang w:val="en-US"/>
        </w:rPr>
        <w:t>响应</w:t>
      </w:r>
      <w:r>
        <w:rPr>
          <w:rFonts w:hint="eastAsia" w:ascii="宋体" w:hAnsi="宋体" w:eastAsia="宋体" w:cs="宋体"/>
          <w:sz w:val="24"/>
          <w:szCs w:val="24"/>
        </w:rPr>
        <w:t>文件中所有关于</w:t>
      </w:r>
      <w:r>
        <w:rPr>
          <w:rFonts w:hint="eastAsia" w:ascii="宋体" w:hAnsi="宋体" w:eastAsia="宋体" w:cs="宋体"/>
          <w:sz w:val="24"/>
          <w:szCs w:val="24"/>
          <w:lang w:val="en-US"/>
        </w:rPr>
        <w:t>本公司的</w:t>
      </w:r>
      <w:r>
        <w:rPr>
          <w:rFonts w:hint="eastAsia" w:ascii="宋体" w:hAnsi="宋体" w:eastAsia="宋体" w:cs="宋体"/>
          <w:sz w:val="24"/>
          <w:szCs w:val="24"/>
        </w:rPr>
        <w:t>资格文件、证明和陈述均是真实的、准确的。</w:t>
      </w:r>
    </w:p>
    <w:p w14:paraId="1894679B">
      <w:pPr>
        <w:pageBreakBefore w:val="0"/>
        <w:kinsoku/>
        <w:wordWrap/>
        <w:topLinePunct w:val="0"/>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若与真实情况不符，本公司愿意承担由此而产生的一切后果。</w:t>
      </w:r>
    </w:p>
    <w:p w14:paraId="10576659">
      <w:pPr>
        <w:pageBreakBefore w:val="0"/>
        <w:kinsoku/>
        <w:wordWrap/>
        <w:overflowPunct w:val="0"/>
        <w:topLinePunct w:val="0"/>
        <w:bidi w:val="0"/>
        <w:adjustRightInd w:val="0"/>
        <w:spacing w:line="360" w:lineRule="auto"/>
        <w:ind w:firstLine="420"/>
        <w:rPr>
          <w:rFonts w:hint="eastAsia" w:ascii="宋体" w:hAnsi="宋体" w:eastAsia="宋体" w:cs="宋体"/>
          <w:sz w:val="24"/>
          <w:szCs w:val="24"/>
        </w:rPr>
      </w:pPr>
    </w:p>
    <w:p w14:paraId="03FE314A">
      <w:pPr>
        <w:pageBreakBefore w:val="0"/>
        <w:kinsoku/>
        <w:wordWrap/>
        <w:overflowPunct w:val="0"/>
        <w:topLinePunct w:val="0"/>
        <w:bidi w:val="0"/>
        <w:adjustRightInd w:val="0"/>
        <w:spacing w:line="360" w:lineRule="auto"/>
        <w:ind w:firstLine="420"/>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 xml:space="preserve">      </w:t>
      </w:r>
    </w:p>
    <w:p w14:paraId="49B585E6">
      <w:pPr>
        <w:pageBreakBefore w:val="0"/>
        <w:kinsoku/>
        <w:wordWrap/>
        <w:overflowPunct w:val="0"/>
        <w:topLinePunct w:val="0"/>
        <w:bidi w:val="0"/>
        <w:adjustRightInd w:val="0"/>
        <w:spacing w:line="360" w:lineRule="auto"/>
        <w:ind w:firstLine="420"/>
        <w:rPr>
          <w:rFonts w:hint="eastAsia" w:ascii="宋体" w:hAnsi="宋体" w:eastAsia="宋体" w:cs="宋体"/>
          <w:sz w:val="24"/>
          <w:szCs w:val="24"/>
        </w:rPr>
      </w:pPr>
    </w:p>
    <w:p w14:paraId="53DEB43A">
      <w:pPr>
        <w:pageBreakBefore w:val="0"/>
        <w:kinsoku/>
        <w:wordWrap/>
        <w:overflowPunct w:val="0"/>
        <w:topLinePunct w:val="0"/>
        <w:bidi w:val="0"/>
        <w:adjustRightInd w:val="0"/>
        <w:spacing w:line="360" w:lineRule="auto"/>
        <w:ind w:firstLine="420"/>
        <w:rPr>
          <w:rFonts w:hint="eastAsia" w:ascii="宋体" w:hAnsi="宋体" w:eastAsia="宋体" w:cs="宋体"/>
          <w:sz w:val="24"/>
          <w:szCs w:val="24"/>
        </w:rPr>
      </w:pPr>
      <w:r>
        <w:rPr>
          <w:rFonts w:hint="eastAsia" w:ascii="宋体" w:hAnsi="宋体" w:eastAsia="宋体" w:cs="宋体"/>
          <w:sz w:val="24"/>
          <w:szCs w:val="24"/>
        </w:rPr>
        <w:t xml:space="preserve">  法定代表人或代理人（签字）：</w:t>
      </w:r>
    </w:p>
    <w:p w14:paraId="21B4EF96">
      <w:pPr>
        <w:pageBreakBefore w:val="0"/>
        <w:kinsoku/>
        <w:wordWrap/>
        <w:overflowPunct w:val="0"/>
        <w:topLinePunct w:val="0"/>
        <w:bidi w:val="0"/>
        <w:adjustRightInd w:val="0"/>
        <w:spacing w:line="360" w:lineRule="auto"/>
        <w:ind w:firstLine="1440" w:firstLineChars="600"/>
        <w:rPr>
          <w:rFonts w:hint="eastAsia" w:ascii="宋体" w:hAnsi="宋体" w:eastAsia="宋体" w:cs="宋体"/>
          <w:sz w:val="24"/>
          <w:szCs w:val="24"/>
        </w:rPr>
      </w:pPr>
      <w:r>
        <w:rPr>
          <w:rFonts w:hint="eastAsia" w:ascii="宋体" w:hAnsi="宋体" w:eastAsia="宋体" w:cs="宋体"/>
          <w:sz w:val="24"/>
          <w:szCs w:val="24"/>
        </w:rPr>
        <w:t>供  应  商 （盖章）：</w:t>
      </w:r>
    </w:p>
    <w:p w14:paraId="35581127">
      <w:pPr>
        <w:pageBreakBefore w:val="0"/>
        <w:kinsoku/>
        <w:wordWrap/>
        <w:overflowPunct w:val="0"/>
        <w:topLinePunct w:val="0"/>
        <w:bidi w:val="0"/>
        <w:adjustRightInd w:val="0"/>
        <w:spacing w:line="360" w:lineRule="auto"/>
        <w:ind w:firstLine="2880" w:firstLineChars="1200"/>
        <w:rPr>
          <w:rFonts w:hint="eastAsia" w:ascii="宋体" w:hAnsi="宋体" w:eastAsia="宋体" w:cs="宋体"/>
          <w:sz w:val="24"/>
          <w:szCs w:val="24"/>
        </w:rPr>
      </w:pPr>
      <w:r>
        <w:rPr>
          <w:rFonts w:hint="eastAsia" w:ascii="宋体" w:hAnsi="宋体" w:eastAsia="宋体" w:cs="宋体"/>
          <w:sz w:val="24"/>
          <w:szCs w:val="24"/>
        </w:rPr>
        <w:t>日  期 ：   年 月 日</w:t>
      </w:r>
    </w:p>
    <w:p w14:paraId="0E96DFD6">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4D15BFFA">
      <w:pPr>
        <w:pageBreakBefore w:val="0"/>
        <w:kinsoku/>
        <w:wordWrap/>
        <w:topLinePunct w:val="0"/>
        <w:bidi w:val="0"/>
        <w:spacing w:line="360" w:lineRule="auto"/>
        <w:rPr>
          <w:rFonts w:hint="eastAsia" w:ascii="宋体" w:hAnsi="宋体" w:eastAsia="宋体" w:cs="宋体"/>
          <w:sz w:val="24"/>
          <w:szCs w:val="24"/>
        </w:rPr>
      </w:pPr>
    </w:p>
    <w:p w14:paraId="5672AC3E">
      <w:pPr>
        <w:pageBreakBefore w:val="0"/>
        <w:kinsoku/>
        <w:wordWrap/>
        <w:topLinePunct w:val="0"/>
        <w:bidi w:val="0"/>
        <w:spacing w:line="360" w:lineRule="auto"/>
        <w:rPr>
          <w:rFonts w:hint="eastAsia" w:ascii="宋体" w:hAnsi="宋体" w:eastAsia="宋体" w:cs="宋体"/>
          <w:sz w:val="24"/>
          <w:szCs w:val="24"/>
        </w:rPr>
      </w:pPr>
    </w:p>
    <w:p w14:paraId="084698E0">
      <w:pPr>
        <w:pageBreakBefore w:val="0"/>
        <w:kinsoku/>
        <w:wordWrap/>
        <w:topLinePunct w:val="0"/>
        <w:bidi w:val="0"/>
        <w:spacing w:line="360" w:lineRule="auto"/>
        <w:rPr>
          <w:rFonts w:hint="eastAsia" w:ascii="宋体" w:hAnsi="宋体" w:eastAsia="宋体" w:cs="宋体"/>
          <w:sz w:val="24"/>
          <w:szCs w:val="24"/>
        </w:rPr>
      </w:pPr>
    </w:p>
    <w:p w14:paraId="17636E64">
      <w:pPr>
        <w:pageBreakBefore w:val="0"/>
        <w:kinsoku/>
        <w:wordWrap/>
        <w:topLinePunct w:val="0"/>
        <w:bidi w:val="0"/>
        <w:spacing w:line="360" w:lineRule="auto"/>
        <w:rPr>
          <w:rFonts w:hint="eastAsia" w:ascii="宋体" w:hAnsi="宋体" w:eastAsia="宋体" w:cs="宋体"/>
          <w:sz w:val="24"/>
          <w:szCs w:val="24"/>
        </w:rPr>
      </w:pPr>
    </w:p>
    <w:p w14:paraId="5C8EC1D3">
      <w:pPr>
        <w:pageBreakBefore w:val="0"/>
        <w:kinsoku/>
        <w:wordWrap/>
        <w:topLinePunct w:val="0"/>
        <w:bidi w:val="0"/>
        <w:spacing w:line="360" w:lineRule="auto"/>
        <w:rPr>
          <w:rFonts w:hint="eastAsia" w:ascii="宋体" w:hAnsi="宋体" w:eastAsia="宋体" w:cs="宋体"/>
          <w:sz w:val="24"/>
          <w:szCs w:val="24"/>
        </w:rPr>
      </w:pPr>
    </w:p>
    <w:p w14:paraId="6BAEB123">
      <w:pPr>
        <w:pageBreakBefore w:val="0"/>
        <w:kinsoku/>
        <w:wordWrap/>
        <w:topLinePunct w:val="0"/>
        <w:bidi w:val="0"/>
        <w:spacing w:line="360" w:lineRule="auto"/>
        <w:rPr>
          <w:rFonts w:hint="eastAsia" w:ascii="宋体" w:hAnsi="宋体" w:eastAsia="宋体" w:cs="宋体"/>
          <w:sz w:val="24"/>
          <w:szCs w:val="24"/>
        </w:rPr>
      </w:pPr>
    </w:p>
    <w:p w14:paraId="27CE84BA">
      <w:pPr>
        <w:pageBreakBefore w:val="0"/>
        <w:kinsoku/>
        <w:wordWrap/>
        <w:topLinePunct w:val="0"/>
        <w:bidi w:val="0"/>
        <w:spacing w:line="360" w:lineRule="auto"/>
        <w:rPr>
          <w:rFonts w:hint="eastAsia" w:ascii="宋体" w:hAnsi="宋体" w:eastAsia="宋体" w:cs="宋体"/>
          <w:sz w:val="24"/>
          <w:szCs w:val="24"/>
        </w:rPr>
      </w:pPr>
    </w:p>
    <w:p w14:paraId="38C69489">
      <w:pPr>
        <w:pageBreakBefore w:val="0"/>
        <w:kinsoku/>
        <w:wordWrap/>
        <w:topLinePunct w:val="0"/>
        <w:bidi w:val="0"/>
        <w:spacing w:line="360" w:lineRule="auto"/>
        <w:rPr>
          <w:rFonts w:hint="eastAsia" w:ascii="宋体" w:hAnsi="宋体" w:eastAsia="宋体" w:cs="宋体"/>
          <w:b/>
          <w:bCs/>
          <w:sz w:val="24"/>
          <w:szCs w:val="24"/>
        </w:rPr>
      </w:pPr>
    </w:p>
    <w:p w14:paraId="50236194">
      <w:pPr>
        <w:pageBreakBefore w:val="0"/>
        <w:kinsoku/>
        <w:wordWrap/>
        <w:topLinePunct w:val="0"/>
        <w:bidi w:val="0"/>
        <w:spacing w:line="360" w:lineRule="auto"/>
        <w:rPr>
          <w:rFonts w:hint="eastAsia" w:ascii="宋体" w:hAnsi="宋体" w:eastAsia="宋体" w:cs="宋体"/>
          <w:b/>
          <w:bCs/>
          <w:sz w:val="24"/>
          <w:szCs w:val="24"/>
        </w:rPr>
      </w:pPr>
    </w:p>
    <w:p w14:paraId="02DEE59E">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b/>
          <w:bCs/>
          <w:sz w:val="24"/>
          <w:szCs w:val="24"/>
        </w:rPr>
        <w:t>附件6：</w:t>
      </w:r>
      <w:r>
        <w:rPr>
          <w:rFonts w:hint="eastAsia" w:ascii="宋体" w:hAnsi="宋体" w:eastAsia="宋体" w:cs="宋体"/>
          <w:sz w:val="24"/>
          <w:szCs w:val="24"/>
        </w:rPr>
        <w:t>技术偏离表</w:t>
      </w:r>
    </w:p>
    <w:p w14:paraId="3C1BA355">
      <w:pPr>
        <w:pageBreakBefore w:val="0"/>
        <w:kinsoku/>
        <w:wordWrap/>
        <w:topLinePunct w:val="0"/>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技术参数偏离表(格式如下)，提供加盖公章的扫描版</w:t>
      </w:r>
    </w:p>
    <w:p w14:paraId="0B55D1EB">
      <w:pPr>
        <w:pageBreakBefore w:val="0"/>
        <w:kinsoku/>
        <w:wordWrap/>
        <w:topLinePunct w:val="0"/>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pageBreakBefore w:val="0"/>
        <w:kinsoku/>
        <w:wordWrap/>
        <w:topLinePunct w:val="0"/>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如无偏离，请在本页上写“无”。</w:t>
      </w:r>
    </w:p>
    <w:p w14:paraId="4C358C84">
      <w:pPr>
        <w:pageBreakBefore w:val="0"/>
        <w:kinsoku/>
        <w:wordWrap/>
        <w:topLinePunct w:val="0"/>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申购单号：</w:t>
      </w:r>
    </w:p>
    <w:tbl>
      <w:tblPr>
        <w:tblStyle w:val="1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pageBreakBefore w:val="0"/>
              <w:kinsoku/>
              <w:wordWrap/>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章节号</w:t>
            </w:r>
          </w:p>
        </w:tc>
        <w:tc>
          <w:tcPr>
            <w:tcW w:w="2132" w:type="dxa"/>
            <w:vAlign w:val="center"/>
          </w:tcPr>
          <w:p w14:paraId="21D994D5">
            <w:pPr>
              <w:pageBreakBefore w:val="0"/>
              <w:kinsoku/>
              <w:wordWrap/>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供应商的偏离</w:t>
            </w:r>
          </w:p>
        </w:tc>
        <w:tc>
          <w:tcPr>
            <w:tcW w:w="3044" w:type="dxa"/>
            <w:vAlign w:val="center"/>
          </w:tcPr>
          <w:p w14:paraId="332F7164">
            <w:pPr>
              <w:pageBreakBefore w:val="0"/>
              <w:kinsoku/>
              <w:wordWrap/>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供应商偏离的理由</w:t>
            </w:r>
          </w:p>
        </w:tc>
        <w:tc>
          <w:tcPr>
            <w:tcW w:w="1440" w:type="dxa"/>
            <w:vAlign w:val="center"/>
          </w:tcPr>
          <w:p w14:paraId="3E1DE424">
            <w:pPr>
              <w:pageBreakBefore w:val="0"/>
              <w:kinsoku/>
              <w:wordWrap/>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pageBreakBefore w:val="0"/>
              <w:kinsoku/>
              <w:wordWrap/>
              <w:topLinePunct w:val="0"/>
              <w:bidi w:val="0"/>
              <w:spacing w:line="360" w:lineRule="auto"/>
              <w:rPr>
                <w:rFonts w:hint="eastAsia" w:ascii="宋体" w:hAnsi="宋体" w:eastAsia="宋体" w:cs="宋体"/>
                <w:sz w:val="24"/>
                <w:szCs w:val="24"/>
              </w:rPr>
            </w:pPr>
          </w:p>
        </w:tc>
        <w:tc>
          <w:tcPr>
            <w:tcW w:w="2132" w:type="dxa"/>
          </w:tcPr>
          <w:p w14:paraId="518D5613">
            <w:pPr>
              <w:pageBreakBefore w:val="0"/>
              <w:kinsoku/>
              <w:wordWrap/>
              <w:topLinePunct w:val="0"/>
              <w:bidi w:val="0"/>
              <w:spacing w:line="360" w:lineRule="auto"/>
              <w:rPr>
                <w:rFonts w:hint="eastAsia" w:ascii="宋体" w:hAnsi="宋体" w:eastAsia="宋体" w:cs="宋体"/>
                <w:sz w:val="24"/>
                <w:szCs w:val="24"/>
              </w:rPr>
            </w:pPr>
          </w:p>
        </w:tc>
        <w:tc>
          <w:tcPr>
            <w:tcW w:w="3044" w:type="dxa"/>
          </w:tcPr>
          <w:p w14:paraId="362C019A">
            <w:pPr>
              <w:pageBreakBefore w:val="0"/>
              <w:kinsoku/>
              <w:wordWrap/>
              <w:topLinePunct w:val="0"/>
              <w:bidi w:val="0"/>
              <w:spacing w:line="360" w:lineRule="auto"/>
              <w:rPr>
                <w:rFonts w:hint="eastAsia" w:ascii="宋体" w:hAnsi="宋体" w:eastAsia="宋体" w:cs="宋体"/>
                <w:sz w:val="24"/>
                <w:szCs w:val="24"/>
              </w:rPr>
            </w:pPr>
          </w:p>
        </w:tc>
        <w:tc>
          <w:tcPr>
            <w:tcW w:w="1440" w:type="dxa"/>
          </w:tcPr>
          <w:p w14:paraId="51463D99">
            <w:pPr>
              <w:pageBreakBefore w:val="0"/>
              <w:kinsoku/>
              <w:wordWrap/>
              <w:topLinePunct w:val="0"/>
              <w:bidi w:val="0"/>
              <w:spacing w:line="360" w:lineRule="auto"/>
              <w:rPr>
                <w:rFonts w:hint="eastAsia" w:ascii="宋体" w:hAnsi="宋体" w:eastAsia="宋体" w:cs="宋体"/>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pageBreakBefore w:val="0"/>
              <w:kinsoku/>
              <w:wordWrap/>
              <w:topLinePunct w:val="0"/>
              <w:bidi w:val="0"/>
              <w:spacing w:line="360" w:lineRule="auto"/>
              <w:rPr>
                <w:rFonts w:hint="eastAsia" w:ascii="宋体" w:hAnsi="宋体" w:eastAsia="宋体" w:cs="宋体"/>
                <w:sz w:val="24"/>
                <w:szCs w:val="24"/>
              </w:rPr>
            </w:pPr>
          </w:p>
        </w:tc>
        <w:tc>
          <w:tcPr>
            <w:tcW w:w="2132" w:type="dxa"/>
          </w:tcPr>
          <w:p w14:paraId="222D95D7">
            <w:pPr>
              <w:pageBreakBefore w:val="0"/>
              <w:kinsoku/>
              <w:wordWrap/>
              <w:topLinePunct w:val="0"/>
              <w:bidi w:val="0"/>
              <w:spacing w:line="360" w:lineRule="auto"/>
              <w:rPr>
                <w:rFonts w:hint="eastAsia" w:ascii="宋体" w:hAnsi="宋体" w:eastAsia="宋体" w:cs="宋体"/>
                <w:sz w:val="24"/>
                <w:szCs w:val="24"/>
              </w:rPr>
            </w:pPr>
          </w:p>
        </w:tc>
        <w:tc>
          <w:tcPr>
            <w:tcW w:w="3044" w:type="dxa"/>
          </w:tcPr>
          <w:p w14:paraId="49DA2ADA">
            <w:pPr>
              <w:pageBreakBefore w:val="0"/>
              <w:kinsoku/>
              <w:wordWrap/>
              <w:topLinePunct w:val="0"/>
              <w:bidi w:val="0"/>
              <w:spacing w:line="360" w:lineRule="auto"/>
              <w:rPr>
                <w:rFonts w:hint="eastAsia" w:ascii="宋体" w:hAnsi="宋体" w:eastAsia="宋体" w:cs="宋体"/>
                <w:sz w:val="24"/>
                <w:szCs w:val="24"/>
              </w:rPr>
            </w:pPr>
          </w:p>
        </w:tc>
        <w:tc>
          <w:tcPr>
            <w:tcW w:w="1440" w:type="dxa"/>
          </w:tcPr>
          <w:p w14:paraId="51AACD8D">
            <w:pPr>
              <w:pageBreakBefore w:val="0"/>
              <w:kinsoku/>
              <w:wordWrap/>
              <w:topLinePunct w:val="0"/>
              <w:bidi w:val="0"/>
              <w:spacing w:line="360" w:lineRule="auto"/>
              <w:rPr>
                <w:rFonts w:hint="eastAsia" w:ascii="宋体" w:hAnsi="宋体" w:eastAsia="宋体" w:cs="宋体"/>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pageBreakBefore w:val="0"/>
              <w:kinsoku/>
              <w:wordWrap/>
              <w:topLinePunct w:val="0"/>
              <w:bidi w:val="0"/>
              <w:spacing w:line="360" w:lineRule="auto"/>
              <w:rPr>
                <w:rFonts w:hint="eastAsia" w:ascii="宋体" w:hAnsi="宋体" w:eastAsia="宋体" w:cs="宋体"/>
                <w:sz w:val="24"/>
                <w:szCs w:val="24"/>
              </w:rPr>
            </w:pPr>
          </w:p>
        </w:tc>
        <w:tc>
          <w:tcPr>
            <w:tcW w:w="2132" w:type="dxa"/>
          </w:tcPr>
          <w:p w14:paraId="715C686A">
            <w:pPr>
              <w:pageBreakBefore w:val="0"/>
              <w:kinsoku/>
              <w:wordWrap/>
              <w:topLinePunct w:val="0"/>
              <w:bidi w:val="0"/>
              <w:spacing w:line="360" w:lineRule="auto"/>
              <w:rPr>
                <w:rFonts w:hint="eastAsia" w:ascii="宋体" w:hAnsi="宋体" w:eastAsia="宋体" w:cs="宋体"/>
                <w:sz w:val="24"/>
                <w:szCs w:val="24"/>
              </w:rPr>
            </w:pPr>
          </w:p>
        </w:tc>
        <w:tc>
          <w:tcPr>
            <w:tcW w:w="3044" w:type="dxa"/>
          </w:tcPr>
          <w:p w14:paraId="011E9D27">
            <w:pPr>
              <w:pageBreakBefore w:val="0"/>
              <w:kinsoku/>
              <w:wordWrap/>
              <w:topLinePunct w:val="0"/>
              <w:bidi w:val="0"/>
              <w:spacing w:line="360" w:lineRule="auto"/>
              <w:rPr>
                <w:rFonts w:hint="eastAsia" w:ascii="宋体" w:hAnsi="宋体" w:eastAsia="宋体" w:cs="宋体"/>
                <w:sz w:val="24"/>
                <w:szCs w:val="24"/>
              </w:rPr>
            </w:pPr>
          </w:p>
        </w:tc>
        <w:tc>
          <w:tcPr>
            <w:tcW w:w="1440" w:type="dxa"/>
          </w:tcPr>
          <w:p w14:paraId="0E7F915A">
            <w:pPr>
              <w:pageBreakBefore w:val="0"/>
              <w:kinsoku/>
              <w:wordWrap/>
              <w:topLinePunct w:val="0"/>
              <w:bidi w:val="0"/>
              <w:spacing w:line="360" w:lineRule="auto"/>
              <w:rPr>
                <w:rFonts w:hint="eastAsia" w:ascii="宋体" w:hAnsi="宋体" w:eastAsia="宋体" w:cs="宋体"/>
                <w:sz w:val="24"/>
                <w:szCs w:val="24"/>
              </w:rPr>
            </w:pPr>
          </w:p>
        </w:tc>
      </w:tr>
    </w:tbl>
    <w:p w14:paraId="14BEEBBD">
      <w:pPr>
        <w:pageBreakBefore w:val="0"/>
        <w:kinsoku/>
        <w:wordWrap/>
        <w:topLinePunct w:val="0"/>
        <w:bidi w:val="0"/>
        <w:spacing w:line="360" w:lineRule="auto"/>
        <w:jc w:val="right"/>
        <w:rPr>
          <w:rFonts w:hint="eastAsia" w:ascii="宋体" w:hAnsi="宋体" w:eastAsia="宋体" w:cs="宋体"/>
          <w:sz w:val="24"/>
          <w:szCs w:val="24"/>
        </w:rPr>
      </w:pPr>
    </w:p>
    <w:p w14:paraId="7B667E15">
      <w:pPr>
        <w:pageBreakBefore w:val="0"/>
        <w:kinsoku/>
        <w:wordWrap/>
        <w:topLinePunct w:val="0"/>
        <w:bidi w:val="0"/>
        <w:spacing w:line="360" w:lineRule="auto"/>
        <w:jc w:val="right"/>
        <w:rPr>
          <w:rFonts w:hint="eastAsia" w:ascii="宋体" w:hAnsi="宋体" w:eastAsia="宋体" w:cs="宋体"/>
          <w:sz w:val="24"/>
          <w:szCs w:val="24"/>
        </w:rPr>
      </w:pPr>
    </w:p>
    <w:p w14:paraId="25FFF653">
      <w:pPr>
        <w:pageBreakBefore w:val="0"/>
        <w:kinsoku/>
        <w:wordWrap/>
        <w:topLinePunct w:val="0"/>
        <w:bidi w:val="0"/>
        <w:spacing w:line="360" w:lineRule="auto"/>
        <w:jc w:val="right"/>
        <w:rPr>
          <w:rFonts w:hint="eastAsia" w:ascii="宋体" w:hAnsi="宋体" w:eastAsia="宋体" w:cs="宋体"/>
          <w:sz w:val="24"/>
          <w:szCs w:val="24"/>
        </w:rPr>
      </w:pPr>
    </w:p>
    <w:p w14:paraId="67998A05">
      <w:pPr>
        <w:pageBreakBefore w:val="0"/>
        <w:kinsoku/>
        <w:wordWrap/>
        <w:topLinePunct w:val="0"/>
        <w:bidi w:val="0"/>
        <w:spacing w:line="360" w:lineRule="auto"/>
        <w:jc w:val="right"/>
        <w:rPr>
          <w:rFonts w:hint="eastAsia" w:ascii="宋体" w:hAnsi="宋体" w:eastAsia="宋体" w:cs="宋体"/>
          <w:sz w:val="24"/>
          <w:szCs w:val="24"/>
        </w:rPr>
      </w:pPr>
    </w:p>
    <w:p w14:paraId="0850C0AE">
      <w:pPr>
        <w:pageBreakBefore w:val="0"/>
        <w:kinsoku/>
        <w:wordWrap/>
        <w:topLinePunct w:val="0"/>
        <w:bidi w:val="0"/>
        <w:spacing w:line="360" w:lineRule="auto"/>
        <w:jc w:val="right"/>
        <w:rPr>
          <w:rFonts w:hint="eastAsia" w:ascii="宋体" w:hAnsi="宋体" w:eastAsia="宋体" w:cs="宋体"/>
          <w:sz w:val="24"/>
          <w:szCs w:val="24"/>
        </w:rPr>
      </w:pPr>
      <w:r>
        <w:rPr>
          <w:rFonts w:hint="eastAsia" w:ascii="宋体" w:hAnsi="宋体" w:eastAsia="宋体" w:cs="宋体"/>
          <w:sz w:val="24"/>
          <w:szCs w:val="24"/>
        </w:rPr>
        <w:t>供应商名称（公章）：</w:t>
      </w:r>
    </w:p>
    <w:p w14:paraId="1CFC850A">
      <w:pPr>
        <w:pageBreakBefore w:val="0"/>
        <w:kinsoku/>
        <w:wordWrap/>
        <w:topLinePunct w:val="0"/>
        <w:bidi w:val="0"/>
        <w:spacing w:line="360" w:lineRule="auto"/>
        <w:jc w:val="right"/>
        <w:rPr>
          <w:rFonts w:hint="eastAsia" w:ascii="宋体" w:hAnsi="宋体" w:eastAsia="宋体" w:cs="宋体"/>
          <w:sz w:val="24"/>
          <w:szCs w:val="24"/>
        </w:rPr>
      </w:pPr>
      <w:r>
        <w:rPr>
          <w:rFonts w:hint="eastAsia" w:ascii="宋体" w:hAnsi="宋体" w:eastAsia="宋体" w:cs="宋体"/>
          <w:sz w:val="24"/>
          <w:szCs w:val="24"/>
        </w:rPr>
        <w:t>法定代表人或代理人（签字或盖章）：</w:t>
      </w:r>
    </w:p>
    <w:p w14:paraId="1E88A275">
      <w:pPr>
        <w:pageBreakBefore w:val="0"/>
        <w:kinsoku/>
        <w:wordWrap/>
        <w:topLinePunct w:val="0"/>
        <w:bidi w:val="0"/>
        <w:spacing w:line="360" w:lineRule="auto"/>
        <w:jc w:val="right"/>
        <w:rPr>
          <w:rFonts w:hint="eastAsia" w:ascii="宋体" w:hAnsi="宋体" w:eastAsia="宋体" w:cs="宋体"/>
          <w:sz w:val="24"/>
          <w:szCs w:val="24"/>
        </w:rPr>
      </w:pPr>
      <w:r>
        <w:rPr>
          <w:rFonts w:hint="eastAsia" w:ascii="宋体" w:hAnsi="宋体" w:eastAsia="宋体" w:cs="宋体"/>
          <w:sz w:val="24"/>
          <w:szCs w:val="24"/>
        </w:rPr>
        <w:t>日期：      年  月   日</w:t>
      </w:r>
    </w:p>
    <w:p w14:paraId="7ACD2377">
      <w:pPr>
        <w:pStyle w:val="2"/>
        <w:pageBreakBefore w:val="0"/>
        <w:kinsoku/>
        <w:wordWrap/>
        <w:topLinePunct w:val="0"/>
        <w:bidi w:val="0"/>
        <w:spacing w:line="360" w:lineRule="auto"/>
        <w:rPr>
          <w:rFonts w:hint="eastAsia" w:ascii="宋体" w:hAnsi="宋体" w:eastAsia="宋体" w:cs="宋体"/>
          <w:sz w:val="24"/>
          <w:szCs w:val="24"/>
        </w:rPr>
      </w:pPr>
    </w:p>
    <w:p w14:paraId="2AD67894">
      <w:pPr>
        <w:pStyle w:val="2"/>
        <w:pageBreakBefore w:val="0"/>
        <w:kinsoku/>
        <w:wordWrap/>
        <w:topLinePunct w:val="0"/>
        <w:bidi w:val="0"/>
        <w:spacing w:line="360" w:lineRule="auto"/>
        <w:rPr>
          <w:rFonts w:hint="eastAsia" w:ascii="宋体" w:hAnsi="宋体" w:eastAsia="宋体" w:cs="宋体"/>
          <w:sz w:val="24"/>
          <w:szCs w:val="24"/>
        </w:rPr>
      </w:pPr>
    </w:p>
    <w:p w14:paraId="00DC926C">
      <w:pPr>
        <w:pStyle w:val="2"/>
        <w:pageBreakBefore w:val="0"/>
        <w:kinsoku/>
        <w:wordWrap/>
        <w:topLinePunct w:val="0"/>
        <w:bidi w:val="0"/>
        <w:spacing w:line="360" w:lineRule="auto"/>
        <w:rPr>
          <w:rFonts w:hint="eastAsia" w:ascii="宋体" w:hAnsi="宋体" w:eastAsia="宋体" w:cs="宋体"/>
          <w:sz w:val="24"/>
          <w:szCs w:val="24"/>
        </w:rPr>
      </w:pPr>
    </w:p>
    <w:p w14:paraId="28E9E5BE">
      <w:pPr>
        <w:pStyle w:val="2"/>
        <w:pageBreakBefore w:val="0"/>
        <w:kinsoku/>
        <w:wordWrap/>
        <w:topLinePunct w:val="0"/>
        <w:bidi w:val="0"/>
        <w:spacing w:line="360" w:lineRule="auto"/>
        <w:rPr>
          <w:rFonts w:hint="eastAsia" w:ascii="宋体" w:hAnsi="宋体" w:eastAsia="宋体" w:cs="宋体"/>
          <w:sz w:val="24"/>
          <w:szCs w:val="24"/>
        </w:rPr>
      </w:pPr>
    </w:p>
    <w:p w14:paraId="301F7FD2">
      <w:pPr>
        <w:pStyle w:val="2"/>
        <w:pageBreakBefore w:val="0"/>
        <w:kinsoku/>
        <w:wordWrap/>
        <w:topLinePunct w:val="0"/>
        <w:bidi w:val="0"/>
        <w:spacing w:line="360" w:lineRule="auto"/>
        <w:rPr>
          <w:rFonts w:hint="eastAsia" w:ascii="宋体" w:hAnsi="宋体" w:eastAsia="宋体" w:cs="宋体"/>
          <w:sz w:val="24"/>
          <w:szCs w:val="24"/>
        </w:rPr>
      </w:pPr>
    </w:p>
    <w:p w14:paraId="43775971">
      <w:pPr>
        <w:pStyle w:val="2"/>
        <w:pageBreakBefore w:val="0"/>
        <w:kinsoku/>
        <w:wordWrap/>
        <w:topLinePunct w:val="0"/>
        <w:bidi w:val="0"/>
        <w:spacing w:line="360" w:lineRule="auto"/>
        <w:rPr>
          <w:rFonts w:hint="eastAsia" w:ascii="宋体" w:hAnsi="宋体" w:eastAsia="宋体" w:cs="宋体"/>
          <w:sz w:val="24"/>
          <w:szCs w:val="24"/>
        </w:rPr>
      </w:pPr>
    </w:p>
    <w:p w14:paraId="54AF2472">
      <w:pPr>
        <w:pStyle w:val="2"/>
        <w:pageBreakBefore w:val="0"/>
        <w:kinsoku/>
        <w:wordWrap/>
        <w:topLinePunct w:val="0"/>
        <w:bidi w:val="0"/>
        <w:spacing w:line="360" w:lineRule="auto"/>
        <w:rPr>
          <w:rFonts w:hint="eastAsia" w:ascii="宋体" w:hAnsi="宋体" w:eastAsia="宋体" w:cs="宋体"/>
          <w:sz w:val="24"/>
          <w:szCs w:val="24"/>
        </w:rPr>
      </w:pPr>
    </w:p>
    <w:p w14:paraId="5E160A38">
      <w:pPr>
        <w:pStyle w:val="2"/>
        <w:pageBreakBefore w:val="0"/>
        <w:kinsoku/>
        <w:wordWrap/>
        <w:topLinePunct w:val="0"/>
        <w:bidi w:val="0"/>
        <w:spacing w:line="360" w:lineRule="auto"/>
        <w:rPr>
          <w:rFonts w:hint="eastAsia" w:ascii="宋体" w:hAnsi="宋体" w:eastAsia="宋体" w:cs="宋体"/>
          <w:sz w:val="24"/>
          <w:szCs w:val="24"/>
        </w:rPr>
      </w:pPr>
    </w:p>
    <w:p w14:paraId="0E92FA43">
      <w:pPr>
        <w:pStyle w:val="2"/>
        <w:pageBreakBefore w:val="0"/>
        <w:kinsoku/>
        <w:wordWrap/>
        <w:topLinePunct w:val="0"/>
        <w:bidi w:val="0"/>
        <w:spacing w:line="360" w:lineRule="auto"/>
        <w:rPr>
          <w:rFonts w:hint="eastAsia" w:ascii="宋体" w:hAnsi="宋体" w:eastAsia="宋体" w:cs="宋体"/>
          <w:sz w:val="24"/>
          <w:szCs w:val="24"/>
        </w:rPr>
      </w:pPr>
    </w:p>
    <w:p w14:paraId="37978FBE">
      <w:pPr>
        <w:pStyle w:val="2"/>
        <w:pageBreakBefore w:val="0"/>
        <w:kinsoku/>
        <w:wordWrap/>
        <w:topLinePunct w:val="0"/>
        <w:bidi w:val="0"/>
        <w:spacing w:line="360" w:lineRule="auto"/>
        <w:rPr>
          <w:rFonts w:hint="eastAsia" w:ascii="宋体" w:hAnsi="宋体" w:eastAsia="宋体" w:cs="宋体"/>
          <w:sz w:val="24"/>
          <w:szCs w:val="24"/>
        </w:rPr>
      </w:pPr>
    </w:p>
    <w:p w14:paraId="2DC52A36">
      <w:pPr>
        <w:pageBreakBefore w:val="0"/>
        <w:kinsoku/>
        <w:wordWrap/>
        <w:topLinePunct w:val="0"/>
        <w:bidi w:val="0"/>
        <w:spacing w:line="360" w:lineRule="auto"/>
        <w:rPr>
          <w:rFonts w:hint="eastAsia" w:ascii="宋体" w:hAnsi="宋体" w:eastAsia="宋体" w:cs="宋体"/>
          <w:b/>
          <w:bCs/>
          <w:sz w:val="24"/>
          <w:szCs w:val="24"/>
        </w:rPr>
      </w:pPr>
    </w:p>
    <w:p w14:paraId="31D628EC">
      <w:pPr>
        <w:pageBreakBefore w:val="0"/>
        <w:kinsoku/>
        <w:wordWrap/>
        <w:topLinePunct w:val="0"/>
        <w:bidi w:val="0"/>
        <w:spacing w:line="360" w:lineRule="auto"/>
        <w:rPr>
          <w:rFonts w:hint="eastAsia" w:ascii="宋体" w:hAnsi="宋体" w:eastAsia="宋体" w:cs="宋体"/>
          <w:sz w:val="24"/>
          <w:szCs w:val="24"/>
        </w:rPr>
      </w:pPr>
      <w:r>
        <w:rPr>
          <w:rFonts w:hint="eastAsia" w:ascii="宋体" w:hAnsi="宋体" w:eastAsia="宋体" w:cs="宋体"/>
          <w:b/>
          <w:bCs/>
          <w:sz w:val="24"/>
          <w:szCs w:val="24"/>
        </w:rPr>
        <w:t>附件7：</w:t>
      </w:r>
      <w:r>
        <w:rPr>
          <w:rFonts w:hint="eastAsia" w:ascii="宋体" w:hAnsi="宋体" w:eastAsia="宋体" w:cs="宋体"/>
          <w:sz w:val="24"/>
          <w:szCs w:val="24"/>
        </w:rPr>
        <w:t>供应商承诺函</w:t>
      </w:r>
    </w:p>
    <w:p w14:paraId="7FECC125">
      <w:pPr>
        <w:pageBreakBefore w:val="0"/>
        <w:kinsoku/>
        <w:wordWrap/>
        <w:topLinePunct w:val="0"/>
        <w:bidi w:val="0"/>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致：常州工业职业技术学院          </w:t>
      </w:r>
    </w:p>
    <w:p w14:paraId="38BA995C">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按照文件的规定，我单位郑重声明如下：</w:t>
      </w:r>
    </w:p>
    <w:p w14:paraId="699A2E12">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1、我单位是按照中华人民共和国法律规定登记注册的，注册地点为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，全称为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，统一社会信用代码为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 xml:space="preserve"> ，法定代表人（单位负责人）为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，具有独立承担民事责任的能力（如属于分公司经总公司授权参与项目，由总公司承担民事责任的，须提供总公司项目授权书）。</w:t>
      </w:r>
    </w:p>
    <w:p w14:paraId="5AE64599">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2、我单位未被“国家企业信用信息系统”列入经营异常名录或者严重违法企业名单。</w:t>
      </w:r>
    </w:p>
    <w:p w14:paraId="4F08EF59">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3、我单位具有良好的商业信誉（指供应商经营状况良好，无本资格声明第十条情形）和健全的财务会计制度。</w:t>
      </w:r>
    </w:p>
    <w:p w14:paraId="24D31156">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4、我单位依法进行纳税和社会保险申报并实际履行了义务。</w:t>
      </w:r>
    </w:p>
    <w:p w14:paraId="504CC837">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5、我单位具有履行本项目采购合同所必需的设备和专业技术能力，并具有履行合同的良好记录。           </w:t>
      </w:r>
    </w:p>
    <w:p w14:paraId="2CA9B3C2">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7、我单位具备法律、行政法规规定的其他条件。</w:t>
      </w:r>
    </w:p>
    <w:p w14:paraId="171F9A5D">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8、与我单位存在“单位负责人为同一人或者存在直接控股、管理关系”的其他单位信息如下（如无此情形的，填写“无”）： </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 xml:space="preserve">                       </w:t>
      </w:r>
    </w:p>
    <w:p w14:paraId="32719A0F">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8.1、与我单位的法定代表人（单位负责人）为同一人的其他单位如下：</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 xml:space="preserve">               </w:t>
      </w:r>
    </w:p>
    <w:p w14:paraId="4B2FF4BC">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8.2、我单位直接控股的其他单位如下：</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 xml:space="preserve">                     </w:t>
      </w:r>
    </w:p>
    <w:p w14:paraId="09CCAE7C">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8.3、与我单位存在管理关系的其他单位如下：</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 xml:space="preserve">               </w:t>
      </w:r>
    </w:p>
    <w:p w14:paraId="0C4E8AE4">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9、我单位不属于为本项目提供整体设计、规范编制或者项目管理、监理、检测等服务的供应商。</w:t>
      </w:r>
    </w:p>
    <w:p w14:paraId="3C32F703">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10、我单位无以下不良信用记录情形：</w:t>
      </w:r>
    </w:p>
    <w:p w14:paraId="0A3B120C">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10.1、在“信用中国”网站被列入失信被执行人和重大税收违法案件当事人名单；</w:t>
      </w:r>
    </w:p>
    <w:p w14:paraId="173015AD">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10.2、在“中国政府采购网”网站被列入政府采购严重违法失信行为记录名单；</w:t>
      </w:r>
    </w:p>
    <w:p w14:paraId="2ABC53FB">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11、我单位与采购人不存在利害关系；</w:t>
      </w:r>
    </w:p>
    <w:p w14:paraId="15EE9EA0">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12、本公司提交的响应文件中所有关于供应商（供应商）资格的文件、证明和陈述均是真实的、准确的。</w:t>
      </w:r>
    </w:p>
    <w:p w14:paraId="7E481CD0">
      <w:pPr>
        <w:pStyle w:val="12"/>
        <w:pageBreakBefore w:val="0"/>
        <w:kinsoku/>
        <w:wordWrap/>
        <w:topLinePunct w:val="0"/>
        <w:bidi w:val="0"/>
        <w:spacing w:line="360" w:lineRule="auto"/>
        <w:ind w:firstLine="482"/>
        <w:rPr>
          <w:rFonts w:hint="eastAsia" w:ascii="宋体" w:hAnsi="宋体" w:eastAsia="宋体" w:cs="宋体"/>
          <w:sz w:val="24"/>
          <w:szCs w:val="24"/>
        </w:rPr>
      </w:pPr>
      <w:r>
        <w:rPr>
          <w:rFonts w:hint="eastAsia" w:ascii="宋体" w:hAnsi="宋体" w:eastAsia="宋体" w:cs="宋体"/>
          <w:b/>
          <w:sz w:val="24"/>
          <w:szCs w:val="24"/>
        </w:rPr>
        <w:t>13、响应采购人所提出项目要求的全部条款，保证按时完成上述服务。</w:t>
      </w:r>
    </w:p>
    <w:p w14:paraId="2F865CB6">
      <w:pPr>
        <w:pageBreakBefore w:val="0"/>
        <w:kinsoku/>
        <w:wordWrap/>
        <w:topLinePunct w:val="0"/>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我单位保证上述声明的事项都是真实的，如有虚假，我单位愿意承担相应的法律责任，并承担因此所造成的一切后果与损失。</w:t>
      </w:r>
    </w:p>
    <w:p w14:paraId="509F836A">
      <w:pPr>
        <w:pStyle w:val="12"/>
        <w:pageBreakBefore w:val="0"/>
        <w:kinsoku/>
        <w:wordWrap/>
        <w:topLinePunct w:val="0"/>
        <w:bidi w:val="0"/>
        <w:spacing w:line="360" w:lineRule="auto"/>
        <w:ind w:firstLine="480"/>
        <w:rPr>
          <w:rFonts w:hint="eastAsia" w:ascii="宋体" w:hAnsi="宋体" w:eastAsia="宋体" w:cs="宋体"/>
          <w:bCs/>
          <w:sz w:val="24"/>
          <w:szCs w:val="24"/>
        </w:rPr>
      </w:pPr>
    </w:p>
    <w:p w14:paraId="1281566C">
      <w:pPr>
        <w:pageBreakBefore w:val="0"/>
        <w:kinsoku/>
        <w:wordWrap/>
        <w:topLinePunct w:val="0"/>
        <w:bidi w:val="0"/>
        <w:spacing w:line="360" w:lineRule="auto"/>
        <w:rPr>
          <w:rFonts w:hint="eastAsia" w:ascii="宋体" w:hAnsi="宋体" w:eastAsia="宋体" w:cs="宋体"/>
          <w:bCs/>
          <w:sz w:val="24"/>
          <w:szCs w:val="24"/>
        </w:rPr>
      </w:pPr>
    </w:p>
    <w:p w14:paraId="06DD29B5">
      <w:pPr>
        <w:pageBreakBefore w:val="0"/>
        <w:kinsoku/>
        <w:wordWrap/>
        <w:topLinePunct w:val="0"/>
        <w:bidi w:val="0"/>
        <w:spacing w:line="360" w:lineRule="auto"/>
        <w:rPr>
          <w:rFonts w:hint="eastAsia" w:ascii="宋体" w:hAnsi="宋体" w:eastAsia="宋体" w:cs="宋体"/>
          <w:bCs/>
          <w:sz w:val="24"/>
          <w:szCs w:val="24"/>
        </w:rPr>
      </w:pPr>
    </w:p>
    <w:p w14:paraId="6D95A844">
      <w:pPr>
        <w:pageBreakBefore w:val="0"/>
        <w:kinsoku/>
        <w:wordWrap/>
        <w:topLinePunct w:val="0"/>
        <w:bidi w:val="0"/>
        <w:spacing w:line="360" w:lineRule="auto"/>
        <w:rPr>
          <w:rFonts w:hint="eastAsia" w:ascii="宋体" w:hAnsi="宋体" w:eastAsia="宋体" w:cs="宋体"/>
          <w:bCs/>
          <w:sz w:val="24"/>
          <w:szCs w:val="24"/>
        </w:rPr>
      </w:pPr>
    </w:p>
    <w:p w14:paraId="21653CA7">
      <w:pPr>
        <w:pageBreakBefore w:val="0"/>
        <w:kinsoku/>
        <w:wordWrap/>
        <w:topLinePunct w:val="0"/>
        <w:bidi w:val="0"/>
        <w:spacing w:line="360" w:lineRule="auto"/>
        <w:rPr>
          <w:rFonts w:hint="eastAsia" w:ascii="宋体" w:hAnsi="宋体" w:eastAsia="宋体" w:cs="宋体"/>
          <w:bCs/>
          <w:sz w:val="24"/>
          <w:szCs w:val="24"/>
        </w:rPr>
      </w:pPr>
    </w:p>
    <w:p w14:paraId="43D4A790">
      <w:pPr>
        <w:pageBreakBefore w:val="0"/>
        <w:kinsoku/>
        <w:wordWrap/>
        <w:topLinePunct w:val="0"/>
        <w:bidi w:val="0"/>
        <w:spacing w:line="360" w:lineRule="auto"/>
        <w:rPr>
          <w:rFonts w:hint="eastAsia" w:ascii="宋体" w:hAnsi="宋体" w:eastAsia="宋体" w:cs="宋体"/>
          <w:bCs/>
          <w:sz w:val="24"/>
          <w:szCs w:val="24"/>
        </w:rPr>
      </w:pPr>
    </w:p>
    <w:p w14:paraId="12C316DE">
      <w:pPr>
        <w:pageBreakBefore w:val="0"/>
        <w:kinsoku/>
        <w:wordWrap/>
        <w:topLinePunct w:val="0"/>
        <w:bidi w:val="0"/>
        <w:spacing w:line="360" w:lineRule="auto"/>
        <w:jc w:val="center"/>
        <w:rPr>
          <w:rFonts w:hint="eastAsia" w:ascii="宋体" w:hAnsi="宋体" w:eastAsia="宋体" w:cs="宋体"/>
          <w:bCs/>
          <w:sz w:val="24"/>
          <w:szCs w:val="24"/>
          <w:lang w:val="en-US"/>
        </w:rPr>
      </w:pPr>
      <w:r>
        <w:rPr>
          <w:rFonts w:hint="eastAsia" w:ascii="宋体" w:hAnsi="宋体" w:eastAsia="宋体" w:cs="宋体"/>
          <w:bCs/>
          <w:sz w:val="24"/>
          <w:szCs w:val="24"/>
          <w:lang w:val="en-US"/>
        </w:rPr>
        <w:t xml:space="preserve">                                                  </w:t>
      </w:r>
    </w:p>
    <w:p w14:paraId="6FB1B539">
      <w:pPr>
        <w:pageBreakBefore w:val="0"/>
        <w:kinsoku/>
        <w:wordWrap/>
        <w:topLinePunct w:val="0"/>
        <w:bidi w:val="0"/>
        <w:spacing w:line="360" w:lineRule="auto"/>
        <w:jc w:val="center"/>
        <w:rPr>
          <w:rFonts w:hint="eastAsia" w:ascii="宋体" w:hAnsi="宋体" w:eastAsia="宋体" w:cs="宋体"/>
          <w:bCs/>
          <w:sz w:val="24"/>
          <w:szCs w:val="24"/>
          <w:lang w:val="en-US"/>
        </w:rPr>
      </w:pPr>
    </w:p>
    <w:p w14:paraId="502D116F">
      <w:pPr>
        <w:pageBreakBefore w:val="0"/>
        <w:kinsoku/>
        <w:wordWrap/>
        <w:topLinePunct w:val="0"/>
        <w:bidi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lang w:val="en-US"/>
        </w:rPr>
        <w:t xml:space="preserve"> </w:t>
      </w:r>
      <w:r>
        <w:rPr>
          <w:rFonts w:hint="eastAsia" w:ascii="宋体" w:hAnsi="宋体" w:eastAsia="宋体" w:cs="宋体"/>
          <w:bCs/>
          <w:sz w:val="24"/>
          <w:szCs w:val="24"/>
        </w:rPr>
        <w:t>供应商</w:t>
      </w:r>
      <w:r>
        <w:rPr>
          <w:rFonts w:hint="eastAsia" w:ascii="宋体" w:hAnsi="宋体" w:eastAsia="宋体" w:cs="宋体"/>
          <w:bCs/>
          <w:sz w:val="24"/>
          <w:szCs w:val="24"/>
          <w:lang w:val="en-US"/>
        </w:rPr>
        <w:t>名称</w:t>
      </w:r>
      <w:r>
        <w:rPr>
          <w:rFonts w:hint="eastAsia" w:ascii="宋体" w:hAnsi="宋体" w:eastAsia="宋体" w:cs="宋体"/>
          <w:bCs/>
          <w:sz w:val="24"/>
          <w:szCs w:val="24"/>
        </w:rPr>
        <w:t>：  （公章）</w:t>
      </w:r>
    </w:p>
    <w:p w14:paraId="0429A40B">
      <w:pPr>
        <w:pageBreakBefore w:val="0"/>
        <w:kinsoku/>
        <w:wordWrap/>
        <w:topLinePunct w:val="0"/>
        <w:bidi w:val="0"/>
        <w:spacing w:line="360" w:lineRule="auto"/>
        <w:jc w:val="right"/>
        <w:rPr>
          <w:rFonts w:hint="eastAsia" w:ascii="宋体" w:hAnsi="宋体" w:eastAsia="宋体" w:cs="宋体"/>
          <w:sz w:val="24"/>
          <w:szCs w:val="24"/>
          <w:lang w:val="en-US"/>
        </w:rPr>
        <w:sectPr>
          <w:footerReference r:id="rId3" w:type="default"/>
          <w:pgSz w:w="11906" w:h="16838"/>
          <w:pgMar w:top="1440" w:right="1803" w:bottom="1440" w:left="1803" w:header="851" w:footer="992" w:gutter="0"/>
          <w:cols w:space="720" w:num="1"/>
          <w:docGrid w:linePitch="354" w:charSpace="0"/>
        </w:sectPr>
      </w:pPr>
      <w:r>
        <w:rPr>
          <w:rFonts w:hint="eastAsia" w:ascii="宋体" w:hAnsi="宋体" w:eastAsia="宋体" w:cs="宋体"/>
          <w:sz w:val="24"/>
          <w:szCs w:val="24"/>
        </w:rPr>
        <w:t>日期：       年  月</w:t>
      </w:r>
      <w:r>
        <w:rPr>
          <w:rFonts w:hint="eastAsia" w:ascii="宋体" w:hAnsi="宋体" w:eastAsia="宋体" w:cs="宋体"/>
          <w:sz w:val="24"/>
          <w:szCs w:val="24"/>
          <w:lang w:val="en-US"/>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rPr>
        <w:t>日</w:t>
      </w:r>
    </w:p>
    <w:p w14:paraId="5E25ECA0">
      <w:pPr>
        <w:pageBreakBefore w:val="0"/>
        <w:kinsoku/>
        <w:wordWrap/>
        <w:topLinePunct w:val="0"/>
        <w:bidi w:val="0"/>
        <w:spacing w:line="360" w:lineRule="auto"/>
        <w:rPr>
          <w:rFonts w:hint="eastAsia" w:ascii="宋体" w:hAnsi="宋体" w:eastAsia="宋体" w:cs="宋体"/>
          <w:b/>
          <w:sz w:val="24"/>
          <w:szCs w:val="24"/>
          <w:lang w:val="en-US" w:eastAsia="zh-CN"/>
        </w:rPr>
      </w:pPr>
      <w:r>
        <w:rPr>
          <w:rFonts w:hint="eastAsia" w:ascii="宋体" w:hAnsi="宋体" w:eastAsia="宋体" w:cs="宋体"/>
          <w:b/>
          <w:sz w:val="24"/>
          <w:szCs w:val="24"/>
          <w:lang w:val="en-US"/>
        </w:rPr>
        <w:t>附件8：</w:t>
      </w:r>
      <w:r>
        <w:rPr>
          <w:rFonts w:hint="eastAsia" w:ascii="宋体" w:hAnsi="宋体" w:eastAsia="宋体" w:cs="宋体"/>
          <w:b/>
          <w:sz w:val="24"/>
          <w:szCs w:val="24"/>
        </w:rPr>
        <w:t>报价一览表加盖供应商公章的扫描件</w:t>
      </w:r>
      <w:r>
        <w:rPr>
          <w:rFonts w:hint="eastAsia" w:ascii="宋体" w:hAnsi="宋体" w:eastAsia="宋体" w:cs="宋体"/>
          <w:b/>
          <w:sz w:val="24"/>
          <w:szCs w:val="24"/>
          <w:lang w:val="en-US" w:eastAsia="zh-CN"/>
        </w:rPr>
        <w:t xml:space="preserve">  </w:t>
      </w:r>
    </w:p>
    <w:p w14:paraId="6FF3A145">
      <w:pPr>
        <w:pageBreakBefore w:val="0"/>
        <w:tabs>
          <w:tab w:val="left" w:pos="4072"/>
        </w:tabs>
        <w:kinsoku/>
        <w:wordWrap/>
        <w:topLinePunct w:val="0"/>
        <w:bidi w:val="0"/>
        <w:spacing w:line="360" w:lineRule="auto"/>
        <w:ind w:left="960"/>
        <w:rPr>
          <w:rFonts w:hint="eastAsia" w:ascii="宋体" w:hAnsi="宋体" w:eastAsia="宋体" w:cs="宋体"/>
          <w:b/>
          <w:sz w:val="24"/>
          <w:szCs w:val="24"/>
        </w:rPr>
      </w:pPr>
      <w:r>
        <w:rPr>
          <w:rFonts w:hint="eastAsia" w:ascii="宋体" w:hAnsi="宋体" w:eastAsia="宋体" w:cs="宋体"/>
          <w:b/>
          <w:sz w:val="24"/>
          <w:szCs w:val="24"/>
        </w:rPr>
        <w:t>1、总报价</w:t>
      </w:r>
      <w:r>
        <w:rPr>
          <w:rFonts w:hint="eastAsia" w:ascii="宋体" w:hAnsi="宋体" w:eastAsia="宋体" w:cs="宋体"/>
          <w:b/>
          <w:sz w:val="24"/>
          <w:szCs w:val="24"/>
          <w:lang w:val="en-US"/>
        </w:rPr>
        <w:t>表</w:t>
      </w:r>
      <w:r>
        <w:rPr>
          <w:rFonts w:hint="eastAsia" w:ascii="宋体" w:hAnsi="宋体" w:eastAsia="宋体" w:cs="宋体"/>
          <w:b/>
          <w:sz w:val="24"/>
          <w:szCs w:val="24"/>
        </w:rPr>
        <w:tab/>
      </w:r>
    </w:p>
    <w:p w14:paraId="707ECA87">
      <w:pPr>
        <w:pStyle w:val="7"/>
        <w:pageBreakBefore w:val="0"/>
        <w:kinsoku/>
        <w:wordWrap/>
        <w:topLinePunct w:val="0"/>
        <w:bidi w:val="0"/>
        <w:spacing w:line="360" w:lineRule="auto"/>
        <w:ind w:firstLine="482"/>
        <w:rPr>
          <w:rFonts w:hint="eastAsia" w:ascii="宋体" w:hAnsi="宋体" w:eastAsia="宋体" w:cs="宋体"/>
          <w:sz w:val="24"/>
          <w:szCs w:val="24"/>
          <w:lang w:val="en-US"/>
        </w:rPr>
      </w:pPr>
      <w:r>
        <w:rPr>
          <w:rFonts w:hint="eastAsia" w:ascii="宋体" w:hAnsi="宋体" w:eastAsia="宋体" w:cs="宋体"/>
          <w:b/>
          <w:bCs/>
          <w:sz w:val="24"/>
          <w:szCs w:val="24"/>
          <w:lang w:val="en-US"/>
        </w:rPr>
        <w:t>项目名称：                        项目编号</w:t>
      </w:r>
      <w:r>
        <w:rPr>
          <w:rFonts w:hint="eastAsia" w:ascii="宋体" w:hAnsi="宋体" w:eastAsia="宋体" w:cs="宋体"/>
          <w:sz w:val="24"/>
          <w:szCs w:val="24"/>
          <w:lang w:val="en-US"/>
        </w:rPr>
        <w:t>：</w:t>
      </w:r>
    </w:p>
    <w:tbl>
      <w:tblPr>
        <w:tblStyle w:val="13"/>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388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742" w:type="dxa"/>
            <w:vAlign w:val="center"/>
          </w:tcPr>
          <w:p w14:paraId="4B2C7DA0">
            <w:pPr>
              <w:pageBreakBefore w:val="0"/>
              <w:kinsoku/>
              <w:wordWrap/>
              <w:topLinePunct w:val="0"/>
              <w:bidi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rPr>
              <w:t xml:space="preserve"> </w:t>
            </w:r>
            <w:r>
              <w:rPr>
                <w:rFonts w:hint="eastAsia" w:ascii="宋体" w:hAnsi="宋体" w:eastAsia="宋体" w:cs="宋体"/>
                <w:sz w:val="24"/>
                <w:szCs w:val="24"/>
              </w:rPr>
              <w:t>报</w:t>
            </w:r>
            <w:r>
              <w:rPr>
                <w:rFonts w:hint="eastAsia" w:ascii="宋体" w:hAnsi="宋体" w:eastAsia="宋体" w:cs="宋体"/>
                <w:sz w:val="24"/>
                <w:szCs w:val="24"/>
                <w:lang w:val="en-US"/>
              </w:rPr>
              <w:t xml:space="preserve">  </w:t>
            </w:r>
            <w:r>
              <w:rPr>
                <w:rFonts w:hint="eastAsia" w:ascii="宋体" w:hAnsi="宋体" w:eastAsia="宋体" w:cs="宋体"/>
                <w:sz w:val="24"/>
                <w:szCs w:val="24"/>
              </w:rPr>
              <w:t>价</w:t>
            </w:r>
          </w:p>
          <w:p w14:paraId="04DC4237">
            <w:pPr>
              <w:pageBreakBefore w:val="0"/>
              <w:kinsoku/>
              <w:wordWrap/>
              <w:topLinePunct w:val="0"/>
              <w:bidi w:val="0"/>
              <w:adjustRightInd w:val="0"/>
              <w:snapToGrid w:val="0"/>
              <w:spacing w:line="360" w:lineRule="auto"/>
              <w:jc w:val="center"/>
              <w:rPr>
                <w:rFonts w:hint="eastAsia" w:ascii="宋体" w:hAnsi="宋体" w:eastAsia="宋体" w:cs="宋体"/>
                <w:b/>
                <w:bCs/>
                <w:sz w:val="24"/>
                <w:szCs w:val="24"/>
              </w:rPr>
            </w:pPr>
            <w:r>
              <w:rPr>
                <w:rFonts w:hint="eastAsia" w:ascii="宋体" w:hAnsi="宋体" w:eastAsia="宋体" w:cs="宋体"/>
                <w:sz w:val="24"/>
                <w:szCs w:val="24"/>
              </w:rPr>
              <w:t xml:space="preserve">（人民币：元 </w:t>
            </w:r>
            <w:r>
              <w:rPr>
                <w:rFonts w:hint="eastAsia" w:ascii="宋体" w:hAnsi="宋体" w:eastAsia="宋体" w:cs="宋体"/>
                <w:sz w:val="24"/>
                <w:szCs w:val="24"/>
                <w:lang w:val="en-US" w:eastAsia="zh-CN"/>
              </w:rPr>
              <w:t>/年</w:t>
            </w:r>
            <w:r>
              <w:rPr>
                <w:rFonts w:hint="eastAsia" w:ascii="宋体" w:hAnsi="宋体" w:eastAsia="宋体" w:cs="宋体"/>
                <w:sz w:val="24"/>
                <w:szCs w:val="24"/>
              </w:rPr>
              <w:t>）</w:t>
            </w:r>
          </w:p>
        </w:tc>
        <w:tc>
          <w:tcPr>
            <w:tcW w:w="5541" w:type="dxa"/>
            <w:vAlign w:val="center"/>
          </w:tcPr>
          <w:p w14:paraId="10E4D85A">
            <w:pPr>
              <w:pStyle w:val="5"/>
              <w:pageBreakBefore w:val="0"/>
              <w:kinsoku/>
              <w:wordWrap/>
              <w:topLinePunct w:val="0"/>
              <w:bidi w:val="0"/>
              <w:adjustRightInd w:val="0"/>
              <w:snapToGrid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rPr>
              <w:t>大写：</w:t>
            </w:r>
            <w:r>
              <w:rPr>
                <w:rFonts w:hint="eastAsia" w:ascii="宋体" w:hAnsi="宋体" w:eastAsia="宋体" w:cs="宋体"/>
                <w:sz w:val="24"/>
                <w:szCs w:val="24"/>
                <w:lang w:val="en-US" w:eastAsia="zh-CN"/>
              </w:rPr>
              <w:t xml:space="preserve">                 </w:t>
            </w:r>
            <w:r>
              <w:rPr>
                <w:rFonts w:hint="eastAsia" w:cs="宋体"/>
                <w:sz w:val="24"/>
                <w:szCs w:val="24"/>
                <w:lang w:val="en-US" w:eastAsia="zh-CN"/>
              </w:rPr>
              <w:t xml:space="preserve"> 元/</w:t>
            </w:r>
            <w:r>
              <w:rPr>
                <w:rFonts w:hint="eastAsia" w:ascii="宋体" w:hAnsi="宋体" w:eastAsia="宋体" w:cs="宋体"/>
                <w:sz w:val="24"/>
                <w:szCs w:val="24"/>
                <w:lang w:val="en-US" w:eastAsia="zh-CN"/>
              </w:rPr>
              <w:t>年</w:t>
            </w:r>
          </w:p>
          <w:p w14:paraId="364CBA28">
            <w:pPr>
              <w:pStyle w:val="24"/>
              <w:pageBreakBefore w:val="0"/>
              <w:kinsoku/>
              <w:wordWrap/>
              <w:topLinePunct w:val="0"/>
              <w:bidi w:val="0"/>
              <w:spacing w:before="0" w:after="0" w:line="360" w:lineRule="auto"/>
              <w:ind w:firstLine="0"/>
              <w:rPr>
                <w:rFonts w:hint="eastAsia" w:ascii="宋体" w:hAnsi="宋体" w:eastAsia="宋体" w:cs="宋体"/>
                <w:sz w:val="24"/>
                <w:szCs w:val="24"/>
              </w:rPr>
            </w:pPr>
            <w:r>
              <w:rPr>
                <w:rFonts w:hint="eastAsia" w:ascii="宋体" w:hAnsi="宋体" w:eastAsia="宋体" w:cs="宋体"/>
                <w:sz w:val="24"/>
                <w:szCs w:val="24"/>
              </w:rPr>
              <w:t xml:space="preserve">小写：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cs="宋体"/>
                <w:sz w:val="24"/>
                <w:szCs w:val="24"/>
                <w:lang w:val="en-US" w:eastAsia="zh-CN"/>
              </w:rPr>
              <w:t>元</w:t>
            </w:r>
            <w:r>
              <w:rPr>
                <w:rFonts w:hint="eastAsia" w:ascii="宋体" w:hAnsi="宋体" w:eastAsia="宋体" w:cs="宋体"/>
                <w:sz w:val="24"/>
                <w:szCs w:val="24"/>
                <w:lang w:val="en-US" w:eastAsia="zh-CN"/>
              </w:rPr>
              <w:t>/年</w:t>
            </w:r>
            <w:r>
              <w:rPr>
                <w:rFonts w:hint="eastAsia" w:ascii="宋体" w:hAnsi="宋体" w:eastAsia="宋体" w:cs="宋体"/>
                <w:sz w:val="24"/>
                <w:szCs w:val="24"/>
              </w:rPr>
              <w:t xml:space="preserve">                                     </w:t>
            </w:r>
          </w:p>
        </w:tc>
      </w:tr>
      <w:tr w14:paraId="3ED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Align w:val="center"/>
          </w:tcPr>
          <w:p w14:paraId="4704592E">
            <w:pPr>
              <w:pageBreakBefore w:val="0"/>
              <w:kinsoku/>
              <w:wordWrap/>
              <w:topLinePunct w:val="0"/>
              <w:bidi w:val="0"/>
              <w:adjustRightInd w:val="0"/>
              <w:snapToGrid w:val="0"/>
              <w:spacing w:line="360" w:lineRule="auto"/>
              <w:jc w:val="center"/>
              <w:rPr>
                <w:rFonts w:hint="eastAsia" w:ascii="宋体" w:hAnsi="宋体" w:eastAsia="宋体" w:cs="宋体"/>
                <w:sz w:val="24"/>
                <w:szCs w:val="24"/>
                <w:lang w:val="en-US"/>
              </w:rPr>
            </w:pPr>
            <w:r>
              <w:rPr>
                <w:rFonts w:hint="eastAsia" w:ascii="宋体" w:hAnsi="宋体" w:eastAsia="宋体" w:cs="宋体"/>
                <w:sz w:val="24"/>
                <w:szCs w:val="24"/>
                <w:lang w:val="en-US"/>
              </w:rPr>
              <w:t>质保期:</w:t>
            </w:r>
          </w:p>
        </w:tc>
        <w:tc>
          <w:tcPr>
            <w:tcW w:w="5541" w:type="dxa"/>
            <w:vAlign w:val="center"/>
          </w:tcPr>
          <w:p w14:paraId="0CDE1520">
            <w:pPr>
              <w:pStyle w:val="24"/>
              <w:pageBreakBefore w:val="0"/>
              <w:kinsoku/>
              <w:wordWrap/>
              <w:topLinePunct w:val="0"/>
              <w:bidi w:val="0"/>
              <w:spacing w:before="0" w:after="0" w:line="360" w:lineRule="auto"/>
              <w:ind w:firstLine="0"/>
              <w:rPr>
                <w:rFonts w:hint="eastAsia" w:ascii="宋体" w:hAnsi="宋体" w:eastAsia="宋体" w:cs="宋体"/>
                <w:sz w:val="24"/>
                <w:szCs w:val="24"/>
              </w:rPr>
            </w:pPr>
          </w:p>
        </w:tc>
      </w:tr>
    </w:tbl>
    <w:p w14:paraId="479AAF49">
      <w:pPr>
        <w:pageBreakBefore w:val="0"/>
        <w:kinsoku/>
        <w:wordWrap/>
        <w:topLinePunct w:val="0"/>
        <w:bidi w:val="0"/>
        <w:adjustRightInd w:val="0"/>
        <w:snapToGrid w:val="0"/>
        <w:spacing w:line="360" w:lineRule="auto"/>
        <w:rPr>
          <w:rFonts w:hint="eastAsia" w:ascii="宋体" w:hAnsi="宋体" w:eastAsia="宋体" w:cs="宋体"/>
          <w:b/>
          <w:bCs/>
          <w:sz w:val="24"/>
          <w:szCs w:val="24"/>
        </w:rPr>
      </w:pPr>
    </w:p>
    <w:p w14:paraId="1443599D">
      <w:pPr>
        <w:pageBreakBefore w:val="0"/>
        <w:kinsoku/>
        <w:wordWrap/>
        <w:topLinePunct w:val="0"/>
        <w:bidi w:val="0"/>
        <w:adjustRightInd w:val="0"/>
        <w:snapToGrid w:val="0"/>
        <w:spacing w:line="360" w:lineRule="auto"/>
        <w:rPr>
          <w:rFonts w:hint="eastAsia" w:ascii="宋体" w:hAnsi="宋体" w:eastAsia="宋体" w:cs="宋体"/>
          <w:b/>
          <w:bCs/>
          <w:sz w:val="24"/>
          <w:szCs w:val="24"/>
        </w:rPr>
      </w:pPr>
    </w:p>
    <w:p w14:paraId="76D1AA8F">
      <w:pPr>
        <w:pageBreakBefore w:val="0"/>
        <w:kinsoku/>
        <w:wordWrap/>
        <w:topLinePunct w:val="0"/>
        <w:bidi w:val="0"/>
        <w:adjustRightInd w:val="0"/>
        <w:snapToGrid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法定代表人（授权人）签字或盖章：</w:t>
      </w:r>
      <w:r>
        <w:rPr>
          <w:rFonts w:hint="eastAsia" w:ascii="宋体" w:hAnsi="宋体" w:eastAsia="宋体" w:cs="宋体"/>
          <w:b/>
          <w:bCs/>
          <w:sz w:val="24"/>
          <w:szCs w:val="24"/>
        </w:rPr>
        <w:tab/>
      </w:r>
    </w:p>
    <w:p w14:paraId="64891793">
      <w:pPr>
        <w:pageBreakBefore w:val="0"/>
        <w:kinsoku/>
        <w:wordWrap/>
        <w:topLinePunct w:val="0"/>
        <w:bidi w:val="0"/>
        <w:adjustRightInd w:val="0"/>
        <w:snapToGrid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被授权人签字：</w:t>
      </w:r>
      <w:r>
        <w:rPr>
          <w:rFonts w:hint="eastAsia" w:ascii="宋体" w:hAnsi="宋体" w:eastAsia="宋体" w:cs="宋体"/>
          <w:b/>
          <w:bCs/>
          <w:sz w:val="24"/>
          <w:szCs w:val="24"/>
        </w:rPr>
        <w:tab/>
      </w:r>
      <w:r>
        <w:rPr>
          <w:rFonts w:hint="eastAsia" w:ascii="宋体" w:hAnsi="宋体" w:eastAsia="宋体" w:cs="宋体"/>
          <w:b/>
          <w:bCs/>
          <w:sz w:val="24"/>
          <w:szCs w:val="24"/>
        </w:rPr>
        <w:tab/>
      </w:r>
    </w:p>
    <w:p w14:paraId="7A5A4455">
      <w:pPr>
        <w:pageBreakBefore w:val="0"/>
        <w:kinsoku/>
        <w:wordWrap/>
        <w:topLinePunct w:val="0"/>
        <w:bidi w:val="0"/>
        <w:adjustRightInd w:val="0"/>
        <w:snapToGrid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单位名称（盖章）：</w:t>
      </w:r>
    </w:p>
    <w:p w14:paraId="5E3FFB44">
      <w:pPr>
        <w:pageBreakBefore w:val="0"/>
        <w:kinsoku/>
        <w:wordWrap/>
        <w:topLinePunct w:val="0"/>
        <w:bidi w:val="0"/>
        <w:adjustRightInd w:val="0"/>
        <w:snapToGrid w:val="0"/>
        <w:spacing w:line="360" w:lineRule="auto"/>
        <w:rPr>
          <w:rFonts w:hint="eastAsia" w:ascii="宋体" w:hAnsi="宋体" w:eastAsia="宋体" w:cs="宋体"/>
          <w:sz w:val="24"/>
          <w:szCs w:val="24"/>
        </w:rPr>
      </w:pPr>
      <w:r>
        <w:rPr>
          <w:rFonts w:hint="eastAsia" w:ascii="宋体" w:hAnsi="宋体" w:eastAsia="宋体" w:cs="宋体"/>
          <w:b/>
          <w:bCs/>
          <w:sz w:val="24"/>
          <w:szCs w:val="24"/>
        </w:rPr>
        <w:tab/>
      </w:r>
      <w:r>
        <w:rPr>
          <w:rFonts w:hint="eastAsia" w:ascii="宋体" w:hAnsi="宋体" w:eastAsia="宋体" w:cs="宋体"/>
          <w:b/>
          <w:bCs/>
          <w:sz w:val="24"/>
          <w:szCs w:val="24"/>
        </w:rPr>
        <w:br w:type="textWrapping"/>
      </w:r>
    </w:p>
    <w:p w14:paraId="5797515E">
      <w:pPr>
        <w:pageBreakBefore w:val="0"/>
        <w:kinsoku/>
        <w:wordWrap/>
        <w:topLinePunct w:val="0"/>
        <w:bidi w:val="0"/>
        <w:spacing w:line="360" w:lineRule="auto"/>
        <w:jc w:val="center"/>
        <w:rPr>
          <w:rFonts w:hint="eastAsia" w:ascii="宋体" w:hAnsi="宋体" w:eastAsia="宋体" w:cs="宋体"/>
          <w:sz w:val="24"/>
          <w:szCs w:val="24"/>
        </w:rPr>
      </w:pPr>
    </w:p>
    <w:p w14:paraId="6319720A">
      <w:pPr>
        <w:pageBreakBefore w:val="0"/>
        <w:kinsoku/>
        <w:wordWrap/>
        <w:topLinePunct w:val="0"/>
        <w:bidi w:val="0"/>
        <w:spacing w:line="360" w:lineRule="auto"/>
        <w:jc w:val="center"/>
        <w:rPr>
          <w:rFonts w:hint="eastAsia" w:ascii="宋体" w:hAnsi="宋体" w:eastAsia="宋体" w:cs="宋体"/>
          <w:sz w:val="24"/>
          <w:szCs w:val="24"/>
        </w:rPr>
      </w:pPr>
    </w:p>
    <w:p w14:paraId="6238E33D">
      <w:pPr>
        <w:pageBreakBefore w:val="0"/>
        <w:kinsoku/>
        <w:wordWrap/>
        <w:topLinePunct w:val="0"/>
        <w:bidi w:val="0"/>
        <w:spacing w:line="360" w:lineRule="auto"/>
        <w:jc w:val="center"/>
        <w:rPr>
          <w:rFonts w:hint="eastAsia" w:ascii="宋体" w:hAnsi="宋体" w:eastAsia="宋体" w:cs="宋体"/>
          <w:sz w:val="24"/>
          <w:szCs w:val="24"/>
        </w:rPr>
      </w:pPr>
    </w:p>
    <w:p w14:paraId="3B7293CC">
      <w:pPr>
        <w:pageBreakBefore w:val="0"/>
        <w:kinsoku/>
        <w:wordWrap/>
        <w:topLinePunct w:val="0"/>
        <w:bidi w:val="0"/>
        <w:adjustRightInd w:val="0"/>
        <w:snapToGrid w:val="0"/>
        <w:spacing w:line="360" w:lineRule="auto"/>
        <w:rPr>
          <w:rFonts w:hint="eastAsia" w:ascii="宋体" w:hAnsi="宋体" w:eastAsia="宋体" w:cs="宋体"/>
          <w:b/>
          <w:bCs/>
          <w:sz w:val="24"/>
          <w:szCs w:val="24"/>
        </w:rPr>
      </w:pPr>
    </w:p>
    <w:p w14:paraId="359CBD85">
      <w:pPr>
        <w:pageBreakBefore w:val="0"/>
        <w:kinsoku/>
        <w:wordWrap/>
        <w:topLinePunct w:val="0"/>
        <w:bidi w:val="0"/>
        <w:adjustRightInd w:val="0"/>
        <w:snapToGrid w:val="0"/>
        <w:spacing w:line="360" w:lineRule="auto"/>
        <w:rPr>
          <w:rFonts w:hint="eastAsia" w:ascii="宋体" w:hAnsi="宋体" w:eastAsia="宋体" w:cs="宋体"/>
          <w:b/>
          <w:bCs/>
          <w:sz w:val="24"/>
          <w:szCs w:val="24"/>
        </w:rPr>
      </w:pPr>
    </w:p>
    <w:p w14:paraId="591F6AEF">
      <w:pPr>
        <w:pageBreakBefore w:val="0"/>
        <w:kinsoku/>
        <w:wordWrap/>
        <w:topLinePunct w:val="0"/>
        <w:bidi w:val="0"/>
        <w:adjustRightInd w:val="0"/>
        <w:snapToGrid w:val="0"/>
        <w:spacing w:line="360" w:lineRule="auto"/>
        <w:rPr>
          <w:rFonts w:hint="eastAsia" w:ascii="宋体" w:hAnsi="宋体" w:eastAsia="宋体" w:cs="宋体"/>
          <w:b/>
          <w:bCs/>
          <w:sz w:val="24"/>
          <w:szCs w:val="24"/>
        </w:rPr>
      </w:pPr>
    </w:p>
    <w:p w14:paraId="255647F0">
      <w:pPr>
        <w:pageBreakBefore w:val="0"/>
        <w:kinsoku/>
        <w:wordWrap/>
        <w:topLinePunct w:val="0"/>
        <w:bidi w:val="0"/>
        <w:adjustRightInd w:val="0"/>
        <w:snapToGrid w:val="0"/>
        <w:spacing w:line="360" w:lineRule="auto"/>
        <w:rPr>
          <w:rFonts w:hint="eastAsia" w:ascii="宋体" w:hAnsi="宋体" w:eastAsia="宋体" w:cs="宋体"/>
          <w:b/>
          <w:bCs/>
          <w:sz w:val="24"/>
          <w:szCs w:val="24"/>
        </w:rPr>
      </w:pPr>
    </w:p>
    <w:p w14:paraId="7A12985A">
      <w:pPr>
        <w:pageBreakBefore w:val="0"/>
        <w:kinsoku/>
        <w:wordWrap/>
        <w:topLinePunct w:val="0"/>
        <w:bidi w:val="0"/>
        <w:adjustRightInd w:val="0"/>
        <w:snapToGrid w:val="0"/>
        <w:spacing w:line="360" w:lineRule="auto"/>
        <w:rPr>
          <w:rFonts w:hint="eastAsia" w:ascii="宋体" w:hAnsi="宋体" w:eastAsia="宋体" w:cs="宋体"/>
          <w:b/>
          <w:bCs/>
          <w:sz w:val="24"/>
          <w:szCs w:val="24"/>
        </w:rPr>
      </w:pPr>
    </w:p>
    <w:p w14:paraId="366BB08D">
      <w:pPr>
        <w:pageBreakBefore w:val="0"/>
        <w:kinsoku/>
        <w:wordWrap/>
        <w:topLinePunct w:val="0"/>
        <w:bidi w:val="0"/>
        <w:adjustRightInd w:val="0"/>
        <w:snapToGrid w:val="0"/>
        <w:spacing w:line="360" w:lineRule="auto"/>
        <w:rPr>
          <w:rFonts w:hint="eastAsia" w:ascii="宋体" w:hAnsi="宋体" w:eastAsia="宋体" w:cs="宋体"/>
          <w:b/>
          <w:bCs/>
          <w:sz w:val="24"/>
          <w:szCs w:val="24"/>
        </w:rPr>
      </w:pPr>
    </w:p>
    <w:p w14:paraId="208EA655">
      <w:pPr>
        <w:pStyle w:val="5"/>
        <w:pageBreakBefore w:val="0"/>
        <w:kinsoku/>
        <w:wordWrap/>
        <w:topLinePunct w:val="0"/>
        <w:bidi w:val="0"/>
        <w:spacing w:line="360" w:lineRule="auto"/>
        <w:rPr>
          <w:rFonts w:hint="eastAsia" w:ascii="宋体" w:hAnsi="宋体" w:eastAsia="宋体" w:cs="宋体"/>
          <w:b/>
          <w:bCs/>
          <w:sz w:val="24"/>
          <w:szCs w:val="24"/>
        </w:rPr>
      </w:pPr>
    </w:p>
    <w:p w14:paraId="1EA6D20F">
      <w:pPr>
        <w:pStyle w:val="6"/>
        <w:pageBreakBefore w:val="0"/>
        <w:kinsoku/>
        <w:wordWrap/>
        <w:topLinePunct w:val="0"/>
        <w:bidi w:val="0"/>
        <w:spacing w:line="360" w:lineRule="auto"/>
        <w:rPr>
          <w:rFonts w:hint="eastAsia" w:ascii="宋体" w:hAnsi="宋体" w:eastAsia="宋体" w:cs="宋体"/>
          <w:b/>
          <w:bCs/>
          <w:sz w:val="24"/>
          <w:szCs w:val="24"/>
        </w:rPr>
      </w:pPr>
    </w:p>
    <w:p w14:paraId="4A81C63D">
      <w:pPr>
        <w:pageBreakBefore w:val="0"/>
        <w:kinsoku/>
        <w:wordWrap/>
        <w:topLinePunct w:val="0"/>
        <w:bidi w:val="0"/>
        <w:spacing w:line="360" w:lineRule="auto"/>
        <w:rPr>
          <w:rFonts w:hint="eastAsia" w:ascii="宋体" w:hAnsi="宋体" w:eastAsia="宋体" w:cs="宋体"/>
          <w:b/>
          <w:bCs/>
          <w:sz w:val="24"/>
          <w:szCs w:val="24"/>
        </w:rPr>
      </w:pPr>
    </w:p>
    <w:p w14:paraId="6FEDE3B7">
      <w:pPr>
        <w:pageBreakBefore w:val="0"/>
        <w:kinsoku/>
        <w:wordWrap/>
        <w:topLinePunct w:val="0"/>
        <w:bidi w:val="0"/>
        <w:adjustRightInd w:val="0"/>
        <w:snapToGrid w:val="0"/>
        <w:spacing w:line="360" w:lineRule="auto"/>
        <w:rPr>
          <w:rFonts w:hint="eastAsia" w:ascii="宋体" w:hAnsi="宋体" w:eastAsia="宋体" w:cs="宋体"/>
          <w:b/>
          <w:bCs/>
          <w:sz w:val="24"/>
          <w:szCs w:val="24"/>
        </w:rPr>
      </w:pPr>
    </w:p>
    <w:p w14:paraId="27EB67D4">
      <w:pPr>
        <w:pageBreakBefore w:val="0"/>
        <w:kinsoku/>
        <w:wordWrap/>
        <w:topLinePunct w:val="0"/>
        <w:bidi w:val="0"/>
        <w:adjustRightInd w:val="0"/>
        <w:snapToGrid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ab/>
      </w:r>
    </w:p>
    <w:p w14:paraId="0C6335BA">
      <w:pPr>
        <w:pageBreakBefore w:val="0"/>
        <w:kinsoku/>
        <w:wordWrap/>
        <w:topLinePunct w:val="0"/>
        <w:bidi w:val="0"/>
        <w:adjustRightInd w:val="0"/>
        <w:snapToGrid w:val="0"/>
        <w:spacing w:line="360" w:lineRule="auto"/>
        <w:rPr>
          <w:rFonts w:hint="eastAsia" w:ascii="宋体" w:hAnsi="宋体" w:eastAsia="宋体" w:cs="宋体"/>
          <w:sz w:val="24"/>
          <w:szCs w:val="24"/>
        </w:rPr>
      </w:pPr>
      <w:r>
        <w:rPr>
          <w:rFonts w:hint="eastAsia" w:ascii="宋体" w:hAnsi="宋体" w:eastAsia="宋体" w:cs="宋体"/>
          <w:b/>
          <w:bCs/>
          <w:sz w:val="24"/>
          <w:szCs w:val="24"/>
        </w:rPr>
        <w:t>附件9：</w:t>
      </w:r>
      <w:r>
        <w:rPr>
          <w:rFonts w:hint="eastAsia" w:ascii="宋体" w:hAnsi="宋体" w:eastAsia="宋体" w:cs="宋体"/>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510CB34">
      <w:pPr>
        <w:pageBreakBefore w:val="0"/>
        <w:kinsoku/>
        <w:wordWrap/>
        <w:topLinePunct w:val="0"/>
        <w:bidi w:val="0"/>
        <w:spacing w:line="360" w:lineRule="auto"/>
        <w:rPr>
          <w:rFonts w:hint="eastAsia" w:ascii="宋体" w:hAnsi="宋体" w:eastAsia="宋体" w:cs="宋体"/>
          <w:b/>
          <w:bCs/>
          <w:sz w:val="24"/>
          <w:szCs w:val="24"/>
        </w:rPr>
      </w:pPr>
    </w:p>
    <w:p w14:paraId="0050714C">
      <w:pPr>
        <w:pageBreakBefore w:val="0"/>
        <w:kinsoku/>
        <w:wordWrap/>
        <w:topLinePunct w:val="0"/>
        <w:bidi w:val="0"/>
        <w:spacing w:line="360" w:lineRule="auto"/>
        <w:rPr>
          <w:rFonts w:hint="eastAsia" w:ascii="宋体" w:hAnsi="宋体" w:eastAsia="宋体" w:cs="宋体"/>
          <w:b/>
          <w:bCs/>
          <w:sz w:val="24"/>
          <w:szCs w:val="24"/>
        </w:rPr>
      </w:pPr>
    </w:p>
    <w:p w14:paraId="29171733">
      <w:pPr>
        <w:pageBreakBefore w:val="0"/>
        <w:kinsoku/>
        <w:wordWrap/>
        <w:topLinePunct w:val="0"/>
        <w:bidi w:val="0"/>
        <w:spacing w:line="360" w:lineRule="auto"/>
        <w:rPr>
          <w:rFonts w:hint="eastAsia" w:ascii="宋体" w:hAnsi="宋体" w:eastAsia="宋体" w:cs="宋体"/>
          <w:b/>
          <w:bCs/>
          <w:sz w:val="24"/>
          <w:szCs w:val="24"/>
        </w:rPr>
      </w:pPr>
    </w:p>
    <w:p w14:paraId="44C7DAE1">
      <w:pPr>
        <w:pageBreakBefore w:val="0"/>
        <w:widowControl/>
        <w:kinsoku/>
        <w:wordWrap/>
        <w:topLinePunct w:val="0"/>
        <w:bidi w:val="0"/>
        <w:spacing w:line="360" w:lineRule="auto"/>
        <w:rPr>
          <w:rFonts w:hint="eastAsia" w:ascii="宋体" w:hAnsi="宋体" w:eastAsia="宋体" w:cs="宋体"/>
          <w:b/>
          <w:sz w:val="24"/>
          <w:szCs w:val="24"/>
          <w:lang w:val="en-US"/>
        </w:rPr>
      </w:pPr>
    </w:p>
    <w:p w14:paraId="2E4CEED3">
      <w:pPr>
        <w:pageBreakBefore w:val="0"/>
        <w:widowControl/>
        <w:kinsoku/>
        <w:wordWrap/>
        <w:topLinePunct w:val="0"/>
        <w:bidi w:val="0"/>
        <w:spacing w:line="360" w:lineRule="auto"/>
        <w:rPr>
          <w:rFonts w:hint="eastAsia" w:ascii="宋体" w:hAnsi="宋体" w:eastAsia="宋体" w:cs="宋体"/>
          <w:b/>
          <w:sz w:val="24"/>
          <w:szCs w:val="24"/>
          <w:lang w:val="en-US"/>
        </w:rPr>
      </w:pPr>
    </w:p>
    <w:p w14:paraId="6CC99570">
      <w:pPr>
        <w:pageBreakBefore w:val="0"/>
        <w:widowControl/>
        <w:kinsoku/>
        <w:wordWrap/>
        <w:topLinePunct w:val="0"/>
        <w:bidi w:val="0"/>
        <w:spacing w:line="360" w:lineRule="auto"/>
        <w:rPr>
          <w:rFonts w:hint="eastAsia" w:ascii="宋体" w:hAnsi="宋体" w:eastAsia="宋体" w:cs="宋体"/>
          <w:b/>
          <w:sz w:val="24"/>
          <w:szCs w:val="24"/>
          <w:lang w:val="en-US"/>
        </w:rPr>
      </w:pPr>
    </w:p>
    <w:p w14:paraId="55B5686F">
      <w:pPr>
        <w:pageBreakBefore w:val="0"/>
        <w:widowControl/>
        <w:kinsoku/>
        <w:wordWrap/>
        <w:topLinePunct w:val="0"/>
        <w:bidi w:val="0"/>
        <w:spacing w:line="360" w:lineRule="auto"/>
        <w:rPr>
          <w:rFonts w:hint="eastAsia" w:ascii="宋体" w:hAnsi="宋体" w:eastAsia="宋体" w:cs="宋体"/>
          <w:b/>
          <w:sz w:val="24"/>
          <w:szCs w:val="24"/>
          <w:lang w:val="en-US"/>
        </w:rPr>
      </w:pPr>
    </w:p>
    <w:p w14:paraId="5FEBA64B">
      <w:pPr>
        <w:pageBreakBefore w:val="0"/>
        <w:widowControl/>
        <w:kinsoku/>
        <w:wordWrap/>
        <w:topLinePunct w:val="0"/>
        <w:bidi w:val="0"/>
        <w:spacing w:line="360" w:lineRule="auto"/>
        <w:rPr>
          <w:rFonts w:hint="eastAsia" w:ascii="宋体" w:hAnsi="宋体" w:eastAsia="宋体" w:cs="宋体"/>
          <w:b/>
          <w:sz w:val="24"/>
          <w:szCs w:val="24"/>
          <w:lang w:val="en-US"/>
        </w:rPr>
      </w:pPr>
    </w:p>
    <w:p w14:paraId="07EA5221">
      <w:pPr>
        <w:pageBreakBefore w:val="0"/>
        <w:widowControl/>
        <w:kinsoku/>
        <w:wordWrap/>
        <w:topLinePunct w:val="0"/>
        <w:bidi w:val="0"/>
        <w:spacing w:line="360" w:lineRule="auto"/>
        <w:rPr>
          <w:rFonts w:hint="eastAsia" w:ascii="宋体" w:hAnsi="宋体" w:eastAsia="宋体" w:cs="宋体"/>
          <w:b/>
          <w:sz w:val="24"/>
          <w:szCs w:val="24"/>
          <w:lang w:val="en-US"/>
        </w:rPr>
      </w:pPr>
    </w:p>
    <w:p w14:paraId="6A9405B4">
      <w:pPr>
        <w:pageBreakBefore w:val="0"/>
        <w:widowControl/>
        <w:kinsoku/>
        <w:wordWrap/>
        <w:topLinePunct w:val="0"/>
        <w:bidi w:val="0"/>
        <w:spacing w:line="360" w:lineRule="auto"/>
        <w:rPr>
          <w:rFonts w:hint="eastAsia" w:ascii="宋体" w:hAnsi="宋体" w:eastAsia="宋体" w:cs="宋体"/>
          <w:b/>
          <w:sz w:val="24"/>
          <w:szCs w:val="24"/>
          <w:lang w:val="en-US"/>
        </w:rPr>
      </w:pPr>
    </w:p>
    <w:p w14:paraId="7E953BE0">
      <w:pPr>
        <w:pageBreakBefore w:val="0"/>
        <w:widowControl/>
        <w:kinsoku/>
        <w:wordWrap/>
        <w:topLinePunct w:val="0"/>
        <w:bidi w:val="0"/>
        <w:spacing w:line="360" w:lineRule="auto"/>
        <w:rPr>
          <w:rFonts w:hint="eastAsia" w:ascii="宋体" w:hAnsi="宋体" w:eastAsia="宋体" w:cs="宋体"/>
          <w:b/>
          <w:sz w:val="24"/>
          <w:szCs w:val="24"/>
          <w:lang w:val="en-US"/>
        </w:rPr>
      </w:pPr>
    </w:p>
    <w:p w14:paraId="33ACFB99">
      <w:pPr>
        <w:pageBreakBefore w:val="0"/>
        <w:widowControl/>
        <w:kinsoku/>
        <w:wordWrap/>
        <w:topLinePunct w:val="0"/>
        <w:bidi w:val="0"/>
        <w:spacing w:line="360" w:lineRule="auto"/>
        <w:rPr>
          <w:rFonts w:hint="eastAsia" w:ascii="宋体" w:hAnsi="宋体" w:eastAsia="宋体" w:cs="宋体"/>
          <w:b/>
          <w:sz w:val="24"/>
          <w:szCs w:val="24"/>
          <w:lang w:val="en-US"/>
        </w:rPr>
      </w:pPr>
    </w:p>
    <w:p w14:paraId="731D14BD">
      <w:pPr>
        <w:pageBreakBefore w:val="0"/>
        <w:widowControl/>
        <w:kinsoku/>
        <w:wordWrap/>
        <w:topLinePunct w:val="0"/>
        <w:bidi w:val="0"/>
        <w:spacing w:line="360" w:lineRule="auto"/>
        <w:rPr>
          <w:rFonts w:hint="eastAsia" w:ascii="宋体" w:hAnsi="宋体" w:eastAsia="宋体" w:cs="宋体"/>
          <w:b/>
          <w:sz w:val="24"/>
          <w:szCs w:val="24"/>
          <w:lang w:val="en-US"/>
        </w:rPr>
      </w:pPr>
    </w:p>
    <w:p w14:paraId="3C5C5DDA">
      <w:pPr>
        <w:pageBreakBefore w:val="0"/>
        <w:widowControl/>
        <w:kinsoku/>
        <w:wordWrap/>
        <w:topLinePunct w:val="0"/>
        <w:bidi w:val="0"/>
        <w:spacing w:line="360" w:lineRule="auto"/>
        <w:rPr>
          <w:rFonts w:hint="eastAsia" w:ascii="宋体" w:hAnsi="宋体" w:eastAsia="宋体" w:cs="宋体"/>
          <w:b/>
          <w:sz w:val="24"/>
          <w:szCs w:val="24"/>
          <w:lang w:val="en-US"/>
        </w:rPr>
      </w:pPr>
    </w:p>
    <w:p w14:paraId="1105E450">
      <w:pPr>
        <w:pageBreakBefore w:val="0"/>
        <w:widowControl/>
        <w:kinsoku/>
        <w:wordWrap/>
        <w:topLinePunct w:val="0"/>
        <w:bidi w:val="0"/>
        <w:spacing w:line="360" w:lineRule="auto"/>
        <w:rPr>
          <w:rFonts w:hint="eastAsia" w:ascii="宋体" w:hAnsi="宋体" w:eastAsia="宋体" w:cs="宋体"/>
          <w:b/>
          <w:sz w:val="24"/>
          <w:szCs w:val="24"/>
          <w:lang w:val="en-US"/>
        </w:rPr>
      </w:pPr>
    </w:p>
    <w:p w14:paraId="664B56B6">
      <w:pPr>
        <w:pageBreakBefore w:val="0"/>
        <w:widowControl/>
        <w:kinsoku/>
        <w:wordWrap/>
        <w:topLinePunct w:val="0"/>
        <w:bidi w:val="0"/>
        <w:spacing w:line="360" w:lineRule="auto"/>
        <w:rPr>
          <w:rFonts w:hint="eastAsia" w:ascii="宋体" w:hAnsi="宋体" w:eastAsia="宋体" w:cs="宋体"/>
          <w:b/>
          <w:sz w:val="24"/>
          <w:szCs w:val="24"/>
          <w:lang w:val="en-US"/>
        </w:rPr>
      </w:pPr>
    </w:p>
    <w:p w14:paraId="072DDA0E">
      <w:pPr>
        <w:pageBreakBefore w:val="0"/>
        <w:widowControl/>
        <w:kinsoku/>
        <w:wordWrap/>
        <w:topLinePunct w:val="0"/>
        <w:bidi w:val="0"/>
        <w:spacing w:line="360" w:lineRule="auto"/>
        <w:rPr>
          <w:rFonts w:hint="eastAsia" w:ascii="宋体" w:hAnsi="宋体" w:eastAsia="宋体" w:cs="宋体"/>
          <w:b/>
          <w:sz w:val="24"/>
          <w:szCs w:val="24"/>
          <w:lang w:val="en-US"/>
        </w:rPr>
      </w:pPr>
    </w:p>
    <w:p w14:paraId="788D8947">
      <w:pPr>
        <w:pageBreakBefore w:val="0"/>
        <w:widowControl/>
        <w:kinsoku/>
        <w:wordWrap/>
        <w:topLinePunct w:val="0"/>
        <w:bidi w:val="0"/>
        <w:spacing w:line="360" w:lineRule="auto"/>
        <w:rPr>
          <w:rFonts w:hint="eastAsia" w:ascii="宋体" w:hAnsi="宋体" w:eastAsia="宋体" w:cs="宋体"/>
          <w:b/>
          <w:sz w:val="24"/>
          <w:szCs w:val="24"/>
          <w:lang w:val="en-US"/>
        </w:rPr>
      </w:pPr>
    </w:p>
    <w:p w14:paraId="63B97028">
      <w:pPr>
        <w:pageBreakBefore w:val="0"/>
        <w:widowControl/>
        <w:kinsoku/>
        <w:wordWrap/>
        <w:topLinePunct w:val="0"/>
        <w:bidi w:val="0"/>
        <w:spacing w:line="360" w:lineRule="auto"/>
        <w:rPr>
          <w:rFonts w:hint="eastAsia" w:ascii="宋体" w:hAnsi="宋体" w:eastAsia="宋体" w:cs="宋体"/>
          <w:b/>
          <w:sz w:val="24"/>
          <w:szCs w:val="24"/>
          <w:lang w:val="en-US"/>
        </w:rPr>
      </w:pPr>
    </w:p>
    <w:p w14:paraId="27C5586F">
      <w:pPr>
        <w:pageBreakBefore w:val="0"/>
        <w:widowControl/>
        <w:kinsoku/>
        <w:wordWrap/>
        <w:topLinePunct w:val="0"/>
        <w:bidi w:val="0"/>
        <w:spacing w:line="360" w:lineRule="auto"/>
        <w:rPr>
          <w:rFonts w:hint="eastAsia" w:ascii="宋体" w:hAnsi="宋体" w:eastAsia="宋体" w:cs="宋体"/>
          <w:b/>
          <w:sz w:val="24"/>
          <w:szCs w:val="24"/>
          <w:lang w:val="en-US"/>
        </w:rPr>
      </w:pPr>
    </w:p>
    <w:p w14:paraId="4DC331C4">
      <w:pPr>
        <w:pageBreakBefore w:val="0"/>
        <w:widowControl/>
        <w:kinsoku/>
        <w:wordWrap/>
        <w:topLinePunct w:val="0"/>
        <w:bidi w:val="0"/>
        <w:spacing w:line="360" w:lineRule="auto"/>
        <w:rPr>
          <w:rFonts w:hint="eastAsia" w:ascii="宋体" w:hAnsi="宋体" w:eastAsia="宋体" w:cs="宋体"/>
          <w:b/>
          <w:sz w:val="24"/>
          <w:szCs w:val="24"/>
          <w:lang w:val="en-US"/>
        </w:rPr>
      </w:pPr>
    </w:p>
    <w:p w14:paraId="098CC921">
      <w:pPr>
        <w:pageBreakBefore w:val="0"/>
        <w:widowControl/>
        <w:kinsoku/>
        <w:wordWrap/>
        <w:topLinePunct w:val="0"/>
        <w:bidi w:val="0"/>
        <w:spacing w:line="360" w:lineRule="auto"/>
        <w:rPr>
          <w:rFonts w:hint="eastAsia" w:ascii="宋体" w:hAnsi="宋体" w:eastAsia="宋体" w:cs="宋体"/>
          <w:b/>
          <w:sz w:val="24"/>
          <w:szCs w:val="24"/>
          <w:lang w:val="en-US"/>
        </w:rPr>
      </w:pPr>
    </w:p>
    <w:p w14:paraId="15B35118">
      <w:pPr>
        <w:pageBreakBefore w:val="0"/>
        <w:widowControl/>
        <w:kinsoku/>
        <w:wordWrap/>
        <w:topLinePunct w:val="0"/>
        <w:bidi w:val="0"/>
        <w:spacing w:line="360" w:lineRule="auto"/>
        <w:rPr>
          <w:rFonts w:hint="eastAsia" w:ascii="宋体" w:hAnsi="宋体" w:eastAsia="宋体" w:cs="宋体"/>
          <w:b/>
          <w:sz w:val="24"/>
          <w:szCs w:val="24"/>
          <w:lang w:val="en-US"/>
        </w:rPr>
      </w:pPr>
    </w:p>
    <w:p w14:paraId="1C7A0EBD">
      <w:pPr>
        <w:pageBreakBefore w:val="0"/>
        <w:widowControl/>
        <w:kinsoku/>
        <w:wordWrap/>
        <w:topLinePunct w:val="0"/>
        <w:bidi w:val="0"/>
        <w:spacing w:line="360" w:lineRule="auto"/>
        <w:rPr>
          <w:rFonts w:hint="eastAsia" w:ascii="宋体" w:hAnsi="宋体" w:eastAsia="宋体" w:cs="宋体"/>
          <w:b/>
          <w:sz w:val="24"/>
          <w:szCs w:val="24"/>
          <w:lang w:val="en-US"/>
        </w:rPr>
      </w:pPr>
    </w:p>
    <w:p w14:paraId="75E1C7E8">
      <w:pPr>
        <w:pageBreakBefore w:val="0"/>
        <w:widowControl/>
        <w:kinsoku/>
        <w:wordWrap/>
        <w:topLinePunct w:val="0"/>
        <w:bidi w:val="0"/>
        <w:spacing w:line="360" w:lineRule="auto"/>
        <w:rPr>
          <w:rFonts w:hint="eastAsia" w:ascii="宋体" w:hAnsi="宋体" w:eastAsia="宋体" w:cs="宋体"/>
          <w:b/>
          <w:sz w:val="24"/>
          <w:szCs w:val="24"/>
        </w:rPr>
      </w:pPr>
      <w:r>
        <w:rPr>
          <w:rFonts w:hint="eastAsia" w:ascii="宋体" w:hAnsi="宋体" w:eastAsia="宋体" w:cs="宋体"/>
          <w:b/>
          <w:sz w:val="24"/>
          <w:szCs w:val="24"/>
          <w:lang w:val="en-US"/>
        </w:rPr>
        <w:t>附件10：</w:t>
      </w:r>
      <w:r>
        <w:rPr>
          <w:rFonts w:hint="eastAsia" w:ascii="宋体" w:hAnsi="宋体" w:eastAsia="宋体" w:cs="宋体"/>
          <w:b/>
          <w:sz w:val="24"/>
          <w:szCs w:val="24"/>
        </w:rPr>
        <w:t>售后服务承诺书（格式自拟）提供加盖供应商公章的扫描件</w:t>
      </w:r>
    </w:p>
    <w:p w14:paraId="71BF0956">
      <w:pPr>
        <w:pageBreakBefore w:val="0"/>
        <w:widowControl/>
        <w:kinsoku/>
        <w:wordWrap/>
        <w:topLinePunct w:val="0"/>
        <w:bidi w:val="0"/>
        <w:spacing w:line="360" w:lineRule="auto"/>
        <w:rPr>
          <w:rFonts w:hint="eastAsia" w:ascii="宋体" w:hAnsi="宋体" w:eastAsia="宋体" w:cs="宋体"/>
          <w:b/>
          <w:bCs/>
          <w:sz w:val="24"/>
          <w:szCs w:val="24"/>
        </w:rPr>
      </w:pPr>
    </w:p>
    <w:p w14:paraId="48D62466">
      <w:pPr>
        <w:pageBreakBefore w:val="0"/>
        <w:kinsoku/>
        <w:wordWrap/>
        <w:topLinePunct w:val="0"/>
        <w:bidi w:val="0"/>
        <w:spacing w:line="360" w:lineRule="auto"/>
        <w:rPr>
          <w:rFonts w:hint="eastAsia" w:ascii="宋体" w:hAnsi="宋体" w:eastAsia="宋体" w:cs="宋体"/>
          <w:b/>
          <w:bCs/>
          <w:sz w:val="24"/>
          <w:szCs w:val="24"/>
        </w:rPr>
      </w:pPr>
    </w:p>
    <w:p w14:paraId="5A3F3625">
      <w:pPr>
        <w:pageBreakBefore w:val="0"/>
        <w:kinsoku/>
        <w:wordWrap/>
        <w:topLinePunct w:val="0"/>
        <w:bidi w:val="0"/>
        <w:spacing w:line="360" w:lineRule="auto"/>
        <w:rPr>
          <w:rFonts w:hint="eastAsia" w:ascii="宋体" w:hAnsi="宋体" w:eastAsia="宋体" w:cs="宋体"/>
          <w:b/>
          <w:bCs/>
          <w:sz w:val="24"/>
          <w:szCs w:val="24"/>
        </w:rPr>
      </w:pPr>
    </w:p>
    <w:p w14:paraId="460D0228">
      <w:pPr>
        <w:pageBreakBefore w:val="0"/>
        <w:kinsoku/>
        <w:wordWrap/>
        <w:topLinePunct w:val="0"/>
        <w:bidi w:val="0"/>
        <w:spacing w:line="360" w:lineRule="auto"/>
        <w:rPr>
          <w:rFonts w:hint="eastAsia" w:ascii="宋体" w:hAnsi="宋体" w:eastAsia="宋体" w:cs="宋体"/>
          <w:b/>
          <w:bCs/>
          <w:sz w:val="24"/>
          <w:szCs w:val="24"/>
          <w:lang w:val="en-US"/>
        </w:rPr>
      </w:pPr>
    </w:p>
    <w:p w14:paraId="7C1894C4">
      <w:pPr>
        <w:pageBreakBefore w:val="0"/>
        <w:kinsoku/>
        <w:wordWrap/>
        <w:topLinePunct w:val="0"/>
        <w:bidi w:val="0"/>
        <w:spacing w:line="360" w:lineRule="auto"/>
        <w:rPr>
          <w:rFonts w:hint="eastAsia" w:ascii="宋体" w:hAnsi="宋体" w:eastAsia="宋体" w:cs="宋体"/>
          <w:b/>
          <w:bCs/>
          <w:sz w:val="24"/>
          <w:szCs w:val="24"/>
          <w:lang w:val="en-US"/>
        </w:rPr>
      </w:pPr>
    </w:p>
    <w:p w14:paraId="5610140B">
      <w:pPr>
        <w:pageBreakBefore w:val="0"/>
        <w:kinsoku/>
        <w:wordWrap/>
        <w:topLinePunct w:val="0"/>
        <w:bidi w:val="0"/>
        <w:spacing w:line="360" w:lineRule="auto"/>
        <w:rPr>
          <w:rFonts w:hint="eastAsia" w:ascii="宋体" w:hAnsi="宋体" w:eastAsia="宋体" w:cs="宋体"/>
          <w:b/>
          <w:bCs/>
          <w:sz w:val="24"/>
          <w:szCs w:val="24"/>
          <w:lang w:val="en-US"/>
        </w:rPr>
      </w:pPr>
    </w:p>
    <w:p w14:paraId="023373DB">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43519DBE">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5E1E3E61">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588BD966">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21EB16BF">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63C555C2">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761A7AE2">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642C2C31">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14FDB71A">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6BF26BA2">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6EA8067D">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704D0280">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6785A979">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583C7CA9">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22763D50">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5EC67DD7">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25DC422B">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3A9DA418">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241AFC96">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7DC3396B">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4803B0FC">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647C3E58">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3D9E5A47">
      <w:pPr>
        <w:pageBreakBefore w:val="0"/>
        <w:kinsoku/>
        <w:wordWrap/>
        <w:topLinePunct w:val="0"/>
        <w:bidi w:val="0"/>
        <w:snapToGrid w:val="0"/>
        <w:spacing w:line="360" w:lineRule="auto"/>
        <w:rPr>
          <w:rFonts w:hint="eastAsia" w:ascii="宋体" w:hAnsi="宋体" w:eastAsia="宋体" w:cs="宋体"/>
          <w:b/>
          <w:bCs/>
          <w:sz w:val="24"/>
          <w:szCs w:val="24"/>
          <w:lang w:val="en-US"/>
        </w:rPr>
      </w:pPr>
    </w:p>
    <w:p w14:paraId="41DDD91D">
      <w:pPr>
        <w:pageBreakBefore w:val="0"/>
        <w:kinsoku/>
        <w:wordWrap/>
        <w:topLinePunct w:val="0"/>
        <w:bidi w:val="0"/>
        <w:snapToGrid w:val="0"/>
        <w:spacing w:line="360" w:lineRule="auto"/>
        <w:rPr>
          <w:rFonts w:hint="eastAsia" w:ascii="宋体" w:hAnsi="宋体" w:eastAsia="宋体" w:cs="宋体"/>
          <w:sz w:val="24"/>
          <w:szCs w:val="24"/>
        </w:rPr>
      </w:pPr>
      <w:r>
        <w:rPr>
          <w:rFonts w:hint="eastAsia" w:ascii="宋体" w:hAnsi="宋体" w:eastAsia="宋体" w:cs="宋体"/>
          <w:b/>
          <w:bCs/>
          <w:sz w:val="24"/>
          <w:szCs w:val="24"/>
          <w:lang w:val="en-US"/>
        </w:rPr>
        <w:t>附件11</w:t>
      </w:r>
      <w:r>
        <w:rPr>
          <w:rFonts w:hint="eastAsia" w:ascii="宋体" w:hAnsi="宋体" w:eastAsia="宋体" w:cs="宋体"/>
          <w:sz w:val="24"/>
          <w:szCs w:val="24"/>
          <w:lang w:val="en-US"/>
        </w:rPr>
        <w:t>：</w:t>
      </w:r>
      <w:r>
        <w:rPr>
          <w:rFonts w:hint="eastAsia" w:ascii="宋体" w:hAnsi="宋体" w:eastAsia="宋体" w:cs="宋体"/>
          <w:sz w:val="24"/>
          <w:szCs w:val="24"/>
        </w:rPr>
        <w:t>其他资料（</w:t>
      </w:r>
      <w:r>
        <w:rPr>
          <w:rFonts w:hint="eastAsia" w:ascii="宋体" w:hAnsi="宋体" w:eastAsia="宋体" w:cs="宋体"/>
          <w:sz w:val="24"/>
          <w:szCs w:val="24"/>
          <w:lang w:val="en-US"/>
        </w:rPr>
        <w:t>供应商</w:t>
      </w:r>
      <w:r>
        <w:rPr>
          <w:rFonts w:hint="eastAsia" w:ascii="宋体" w:hAnsi="宋体" w:eastAsia="宋体" w:cs="宋体"/>
          <w:sz w:val="24"/>
          <w:szCs w:val="24"/>
        </w:rPr>
        <w:t>请自行增加）提供加盖供应商公章的扫描件。</w:t>
      </w:r>
    </w:p>
    <w:p w14:paraId="76DF15AF">
      <w:pPr>
        <w:pageBreakBefore w:val="0"/>
        <w:kinsoku/>
        <w:wordWrap/>
        <w:topLinePunct w:val="0"/>
        <w:bidi w:val="0"/>
        <w:spacing w:line="360" w:lineRule="auto"/>
        <w:rPr>
          <w:rFonts w:hint="eastAsia" w:ascii="宋体" w:hAnsi="宋体" w:eastAsia="宋体" w:cs="宋体"/>
          <w:sz w:val="24"/>
          <w:szCs w:val="24"/>
        </w:rPr>
      </w:pPr>
    </w:p>
    <w:p w14:paraId="674FC6D8">
      <w:pPr>
        <w:pStyle w:val="2"/>
        <w:pageBreakBefore w:val="0"/>
        <w:kinsoku/>
        <w:wordWrap/>
        <w:topLinePunct w:val="0"/>
        <w:bidi w:val="0"/>
        <w:spacing w:line="360" w:lineRule="auto"/>
        <w:rPr>
          <w:rFonts w:hint="eastAsia" w:ascii="宋体" w:hAnsi="宋体" w:eastAsia="宋体" w:cs="宋体"/>
          <w:sz w:val="24"/>
          <w:szCs w:val="24"/>
        </w:rPr>
      </w:pPr>
    </w:p>
    <w:p w14:paraId="7A8C3870">
      <w:pPr>
        <w:pStyle w:val="2"/>
        <w:pageBreakBefore w:val="0"/>
        <w:kinsoku/>
        <w:wordWrap/>
        <w:topLinePunct w:val="0"/>
        <w:bidi w:val="0"/>
        <w:spacing w:line="360" w:lineRule="auto"/>
        <w:rPr>
          <w:rFonts w:hint="eastAsia" w:ascii="宋体" w:hAnsi="宋体" w:eastAsia="宋体" w:cs="宋体"/>
          <w:sz w:val="24"/>
          <w:szCs w:val="24"/>
        </w:rPr>
      </w:pPr>
    </w:p>
    <w:p w14:paraId="705E1712">
      <w:pPr>
        <w:pStyle w:val="2"/>
        <w:pageBreakBefore w:val="0"/>
        <w:kinsoku/>
        <w:wordWrap/>
        <w:topLinePunct w:val="0"/>
        <w:bidi w:val="0"/>
        <w:spacing w:line="360" w:lineRule="auto"/>
        <w:rPr>
          <w:rFonts w:hint="eastAsia" w:ascii="宋体" w:hAnsi="宋体" w:eastAsia="宋体" w:cs="宋体"/>
          <w:sz w:val="24"/>
          <w:szCs w:val="24"/>
        </w:rPr>
      </w:pPr>
    </w:p>
    <w:p w14:paraId="64A80D71">
      <w:pPr>
        <w:pStyle w:val="2"/>
        <w:pageBreakBefore w:val="0"/>
        <w:kinsoku/>
        <w:wordWrap/>
        <w:topLinePunct w:val="0"/>
        <w:bidi w:val="0"/>
        <w:spacing w:line="360" w:lineRule="auto"/>
        <w:rPr>
          <w:rFonts w:hint="eastAsia" w:ascii="宋体" w:hAnsi="宋体" w:eastAsia="宋体" w:cs="宋体"/>
          <w:sz w:val="24"/>
          <w:szCs w:val="24"/>
        </w:rPr>
      </w:pPr>
    </w:p>
    <w:p w14:paraId="1E18844A">
      <w:pPr>
        <w:pStyle w:val="2"/>
        <w:pageBreakBefore w:val="0"/>
        <w:kinsoku/>
        <w:wordWrap/>
        <w:topLinePunct w:val="0"/>
        <w:bidi w:val="0"/>
        <w:spacing w:line="360" w:lineRule="auto"/>
        <w:rPr>
          <w:rFonts w:hint="eastAsia" w:ascii="宋体" w:hAnsi="宋体" w:eastAsia="宋体" w:cs="宋体"/>
          <w:sz w:val="24"/>
          <w:szCs w:val="24"/>
        </w:rPr>
      </w:pPr>
    </w:p>
    <w:p w14:paraId="5E2B95D7">
      <w:pPr>
        <w:pStyle w:val="2"/>
        <w:pageBreakBefore w:val="0"/>
        <w:kinsoku/>
        <w:wordWrap/>
        <w:topLinePunct w:val="0"/>
        <w:bidi w:val="0"/>
        <w:spacing w:line="360" w:lineRule="auto"/>
        <w:jc w:val="right"/>
        <w:rPr>
          <w:rFonts w:hint="eastAsia" w:ascii="宋体" w:hAnsi="宋体" w:eastAsia="宋体" w:cs="宋体"/>
          <w:sz w:val="24"/>
          <w:szCs w:val="24"/>
        </w:rPr>
      </w:pPr>
    </w:p>
    <w:p w14:paraId="2836461F">
      <w:pPr>
        <w:pStyle w:val="2"/>
        <w:pageBreakBefore w:val="0"/>
        <w:kinsoku/>
        <w:wordWrap/>
        <w:topLinePunct w:val="0"/>
        <w:bidi w:val="0"/>
        <w:spacing w:line="360" w:lineRule="auto"/>
        <w:jc w:val="right"/>
        <w:rPr>
          <w:rFonts w:hint="eastAsia" w:ascii="宋体" w:hAnsi="宋体" w:eastAsia="宋体" w:cs="宋体"/>
          <w:sz w:val="24"/>
          <w:szCs w:val="24"/>
        </w:rPr>
      </w:pPr>
    </w:p>
    <w:p w14:paraId="3A97EB8B">
      <w:pPr>
        <w:pageBreakBefore w:val="0"/>
        <w:widowControl/>
        <w:kinsoku/>
        <w:wordWrap/>
        <w:topLinePunct w:val="0"/>
        <w:bidi w:val="0"/>
        <w:spacing w:line="360" w:lineRule="auto"/>
        <w:rPr>
          <w:rFonts w:hint="eastAsia" w:ascii="宋体" w:hAnsi="宋体" w:eastAsia="宋体" w:cs="宋体"/>
          <w:b/>
          <w:sz w:val="24"/>
          <w:szCs w:val="24"/>
        </w:rPr>
      </w:pPr>
    </w:p>
    <w:p w14:paraId="713401A5">
      <w:pPr>
        <w:pageBreakBefore w:val="0"/>
        <w:kinsoku/>
        <w:wordWrap/>
        <w:topLinePunct w:val="0"/>
        <w:bidi w:val="0"/>
        <w:spacing w:line="360" w:lineRule="auto"/>
        <w:rPr>
          <w:rFonts w:hint="eastAsia" w:ascii="宋体" w:hAnsi="宋体" w:eastAsia="宋体" w:cs="宋体"/>
          <w:sz w:val="24"/>
          <w:szCs w:val="24"/>
        </w:rPr>
      </w:pPr>
    </w:p>
    <w:p w14:paraId="73300216">
      <w:pPr>
        <w:pStyle w:val="2"/>
        <w:pageBreakBefore w:val="0"/>
        <w:kinsoku/>
        <w:wordWrap/>
        <w:topLinePunct w:val="0"/>
        <w:bidi w:val="0"/>
        <w:snapToGrid w:val="0"/>
        <w:spacing w:line="360" w:lineRule="auto"/>
        <w:ind w:firstLine="480" w:firstLineChars="200"/>
        <w:jc w:val="both"/>
        <w:rPr>
          <w:rFonts w:hint="eastAsia" w:ascii="宋体" w:hAnsi="宋体" w:eastAsia="宋体" w:cs="宋体"/>
          <w:color w:val="auto"/>
          <w:sz w:val="24"/>
          <w:szCs w:val="24"/>
          <w:highlight w:val="yellow"/>
          <w:lang w:bidi="zh-CN"/>
        </w:rPr>
      </w:pPr>
    </w:p>
    <w:p w14:paraId="13CCFC9B">
      <w:pPr>
        <w:pStyle w:val="2"/>
        <w:pageBreakBefore w:val="0"/>
        <w:kinsoku/>
        <w:wordWrap/>
        <w:topLinePunct w:val="0"/>
        <w:bidi w:val="0"/>
        <w:snapToGrid w:val="0"/>
        <w:spacing w:line="360" w:lineRule="auto"/>
        <w:ind w:firstLine="480" w:firstLineChars="200"/>
        <w:jc w:val="both"/>
        <w:rPr>
          <w:rFonts w:hint="eastAsia" w:ascii="宋体" w:hAnsi="宋体" w:eastAsia="宋体" w:cs="宋体"/>
          <w:color w:val="auto"/>
          <w:sz w:val="24"/>
          <w:szCs w:val="24"/>
          <w:highlight w:val="yellow"/>
          <w:lang w:bidi="zh-CN"/>
        </w:rPr>
      </w:pPr>
    </w:p>
    <w:p w14:paraId="3A038E77">
      <w:pPr>
        <w:pStyle w:val="2"/>
        <w:pageBreakBefore w:val="0"/>
        <w:kinsoku/>
        <w:wordWrap/>
        <w:topLinePunct w:val="0"/>
        <w:bidi w:val="0"/>
        <w:snapToGrid w:val="0"/>
        <w:spacing w:line="360" w:lineRule="auto"/>
        <w:ind w:firstLine="480" w:firstLineChars="200"/>
        <w:jc w:val="both"/>
        <w:rPr>
          <w:rFonts w:hint="eastAsia" w:ascii="宋体" w:hAnsi="宋体" w:eastAsia="宋体" w:cs="宋体"/>
          <w:color w:val="auto"/>
          <w:sz w:val="24"/>
          <w:szCs w:val="24"/>
          <w:highlight w:val="yellow"/>
          <w:lang w:bidi="zh-CN"/>
        </w:rPr>
      </w:pPr>
    </w:p>
    <w:p w14:paraId="357D4200">
      <w:pPr>
        <w:pStyle w:val="2"/>
        <w:pageBreakBefore w:val="0"/>
        <w:kinsoku/>
        <w:wordWrap/>
        <w:topLinePunct w:val="0"/>
        <w:bidi w:val="0"/>
        <w:snapToGrid w:val="0"/>
        <w:spacing w:line="360" w:lineRule="auto"/>
        <w:ind w:firstLine="480" w:firstLineChars="200"/>
        <w:jc w:val="both"/>
        <w:rPr>
          <w:rFonts w:hint="eastAsia" w:ascii="宋体" w:hAnsi="宋体" w:eastAsia="宋体" w:cs="宋体"/>
          <w:color w:val="auto"/>
          <w:sz w:val="24"/>
          <w:szCs w:val="24"/>
          <w:highlight w:val="yellow"/>
          <w:lang w:bidi="zh-CN"/>
        </w:rPr>
      </w:pPr>
    </w:p>
    <w:p w14:paraId="2159BA84">
      <w:pPr>
        <w:pStyle w:val="2"/>
        <w:pageBreakBefore w:val="0"/>
        <w:kinsoku/>
        <w:wordWrap/>
        <w:topLinePunct w:val="0"/>
        <w:bidi w:val="0"/>
        <w:snapToGrid w:val="0"/>
        <w:spacing w:line="360" w:lineRule="auto"/>
        <w:ind w:firstLine="480" w:firstLineChars="200"/>
        <w:jc w:val="both"/>
        <w:rPr>
          <w:rFonts w:hint="eastAsia" w:ascii="宋体" w:hAnsi="宋体" w:eastAsia="宋体" w:cs="宋体"/>
          <w:color w:val="auto"/>
          <w:sz w:val="24"/>
          <w:szCs w:val="24"/>
          <w:highlight w:val="yellow"/>
          <w:lang w:bidi="zh-CN"/>
        </w:rPr>
      </w:pPr>
    </w:p>
    <w:p w14:paraId="0A551C7E">
      <w:pPr>
        <w:pStyle w:val="2"/>
        <w:pageBreakBefore w:val="0"/>
        <w:kinsoku/>
        <w:wordWrap/>
        <w:topLinePunct w:val="0"/>
        <w:bidi w:val="0"/>
        <w:snapToGrid w:val="0"/>
        <w:spacing w:line="360" w:lineRule="auto"/>
        <w:ind w:firstLine="480" w:firstLineChars="200"/>
        <w:jc w:val="both"/>
        <w:rPr>
          <w:rFonts w:hint="eastAsia" w:ascii="宋体" w:hAnsi="宋体" w:eastAsia="宋体" w:cs="宋体"/>
          <w:color w:val="auto"/>
          <w:sz w:val="24"/>
          <w:szCs w:val="24"/>
          <w:highlight w:val="yellow"/>
          <w:lang w:bidi="zh-CN"/>
        </w:rPr>
      </w:pPr>
    </w:p>
    <w:p w14:paraId="7E32CCA3">
      <w:pPr>
        <w:pStyle w:val="2"/>
        <w:pageBreakBefore w:val="0"/>
        <w:kinsoku/>
        <w:wordWrap/>
        <w:topLinePunct w:val="0"/>
        <w:bidi w:val="0"/>
        <w:snapToGrid w:val="0"/>
        <w:spacing w:line="360" w:lineRule="auto"/>
        <w:ind w:firstLine="480" w:firstLineChars="200"/>
        <w:jc w:val="both"/>
        <w:rPr>
          <w:rFonts w:hint="eastAsia" w:ascii="宋体" w:hAnsi="宋体" w:eastAsia="宋体" w:cs="宋体"/>
          <w:color w:val="auto"/>
          <w:sz w:val="24"/>
          <w:szCs w:val="24"/>
          <w:highlight w:val="yellow"/>
          <w:lang w:bidi="zh-CN"/>
        </w:rPr>
      </w:pPr>
    </w:p>
    <w:p w14:paraId="7DE17243">
      <w:pPr>
        <w:pStyle w:val="2"/>
        <w:pageBreakBefore w:val="0"/>
        <w:kinsoku/>
        <w:wordWrap/>
        <w:topLinePunct w:val="0"/>
        <w:bidi w:val="0"/>
        <w:snapToGrid w:val="0"/>
        <w:spacing w:line="360" w:lineRule="auto"/>
        <w:ind w:firstLine="480" w:firstLineChars="200"/>
        <w:jc w:val="both"/>
        <w:rPr>
          <w:rFonts w:hint="eastAsia" w:ascii="宋体" w:hAnsi="宋体" w:eastAsia="宋体" w:cs="宋体"/>
          <w:color w:val="auto"/>
          <w:sz w:val="24"/>
          <w:szCs w:val="24"/>
          <w:highlight w:val="yellow"/>
          <w:lang w:bidi="zh-CN"/>
        </w:rPr>
      </w:pPr>
    </w:p>
    <w:p w14:paraId="4CE967A7">
      <w:pPr>
        <w:pageBreakBefore w:val="0"/>
        <w:kinsoku/>
        <w:wordWrap/>
        <w:topLinePunct w:val="0"/>
        <w:bidi w:val="0"/>
        <w:snapToGrid w:val="0"/>
        <w:spacing w:line="360" w:lineRule="auto"/>
        <w:jc w:val="both"/>
        <w:rPr>
          <w:rFonts w:hint="eastAsia" w:ascii="宋体" w:hAnsi="宋体" w:eastAsia="宋体" w:cs="宋体"/>
          <w:sz w:val="24"/>
          <w:szCs w:val="24"/>
        </w:rPr>
      </w:pPr>
    </w:p>
    <w:p w14:paraId="313A607D">
      <w:pPr>
        <w:pStyle w:val="2"/>
        <w:pageBreakBefore w:val="0"/>
        <w:kinsoku/>
        <w:wordWrap/>
        <w:topLinePunct w:val="0"/>
        <w:bidi w:val="0"/>
        <w:snapToGrid w:val="0"/>
        <w:spacing w:line="360" w:lineRule="auto"/>
        <w:ind w:firstLine="480" w:firstLineChars="200"/>
        <w:jc w:val="both"/>
        <w:rPr>
          <w:rFonts w:hint="eastAsia" w:ascii="宋体" w:hAnsi="宋体" w:eastAsia="宋体" w:cs="宋体"/>
          <w:color w:val="auto"/>
          <w:sz w:val="24"/>
          <w:szCs w:val="24"/>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8"/>
      <w:jc w:val="center"/>
      <w:rPr>
        <w:rFonts w:hint="eastAsia"/>
      </w:rPr>
    </w:pPr>
    <w:r>
      <w:fldChar w:fldCharType="begin"/>
    </w:r>
    <w:r>
      <w:instrText xml:space="preserve">PAGE   \* MERGEFORMAT</w:instrText>
    </w:r>
    <w:r>
      <w:fldChar w:fldCharType="separate"/>
    </w:r>
    <w:r>
      <w:t>2</w:t>
    </w:r>
    <w:r>
      <w:fldChar w:fldCharType="end"/>
    </w:r>
  </w:p>
  <w:p w14:paraId="14FCAC32">
    <w:pPr>
      <w:pStyle w:val="8"/>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2"/>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1760F"/>
    <w:rsid w:val="00136B3D"/>
    <w:rsid w:val="0015712E"/>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2924A37"/>
    <w:rsid w:val="051A0D14"/>
    <w:rsid w:val="06D82C35"/>
    <w:rsid w:val="07205DB8"/>
    <w:rsid w:val="08A92ADB"/>
    <w:rsid w:val="08F57ACE"/>
    <w:rsid w:val="09740162"/>
    <w:rsid w:val="0A6754CB"/>
    <w:rsid w:val="0B341C38"/>
    <w:rsid w:val="0B7868B7"/>
    <w:rsid w:val="0CC53C5B"/>
    <w:rsid w:val="0D3A01A5"/>
    <w:rsid w:val="0DA15ACD"/>
    <w:rsid w:val="0DDF1CCF"/>
    <w:rsid w:val="0EF97BEC"/>
    <w:rsid w:val="0F580937"/>
    <w:rsid w:val="0F854FCD"/>
    <w:rsid w:val="10390BE8"/>
    <w:rsid w:val="1065264B"/>
    <w:rsid w:val="106B1579"/>
    <w:rsid w:val="12EB3CF0"/>
    <w:rsid w:val="133131D1"/>
    <w:rsid w:val="14484ED0"/>
    <w:rsid w:val="14C17F85"/>
    <w:rsid w:val="14C2134B"/>
    <w:rsid w:val="15EC2259"/>
    <w:rsid w:val="17092996"/>
    <w:rsid w:val="171A6014"/>
    <w:rsid w:val="17F97CF1"/>
    <w:rsid w:val="18F02060"/>
    <w:rsid w:val="19744A3F"/>
    <w:rsid w:val="197A4AF0"/>
    <w:rsid w:val="197C38F4"/>
    <w:rsid w:val="1A2C385C"/>
    <w:rsid w:val="1A7E52AB"/>
    <w:rsid w:val="1B7E7DF7"/>
    <w:rsid w:val="1B803B6F"/>
    <w:rsid w:val="1BF63E31"/>
    <w:rsid w:val="1D813B01"/>
    <w:rsid w:val="1DF0665E"/>
    <w:rsid w:val="1E4C7D38"/>
    <w:rsid w:val="1F130F43"/>
    <w:rsid w:val="1F7A66EC"/>
    <w:rsid w:val="1FFA3F3A"/>
    <w:rsid w:val="209634ED"/>
    <w:rsid w:val="22C02987"/>
    <w:rsid w:val="22D81189"/>
    <w:rsid w:val="23787FE4"/>
    <w:rsid w:val="250643AD"/>
    <w:rsid w:val="26B02E2F"/>
    <w:rsid w:val="26D76532"/>
    <w:rsid w:val="281F5195"/>
    <w:rsid w:val="28EB0DF4"/>
    <w:rsid w:val="290E584E"/>
    <w:rsid w:val="2A063491"/>
    <w:rsid w:val="2ADF54FF"/>
    <w:rsid w:val="2B110340"/>
    <w:rsid w:val="2BBA7BCA"/>
    <w:rsid w:val="2BDD57BB"/>
    <w:rsid w:val="2C581F9E"/>
    <w:rsid w:val="2CAD5199"/>
    <w:rsid w:val="2CBD50FD"/>
    <w:rsid w:val="2CD12EA1"/>
    <w:rsid w:val="2CDB6D27"/>
    <w:rsid w:val="2EA119DB"/>
    <w:rsid w:val="2ECD758C"/>
    <w:rsid w:val="2F7A5C03"/>
    <w:rsid w:val="2FE26EEF"/>
    <w:rsid w:val="30812888"/>
    <w:rsid w:val="31B163D9"/>
    <w:rsid w:val="31D04385"/>
    <w:rsid w:val="32867865"/>
    <w:rsid w:val="34C8764D"/>
    <w:rsid w:val="358931C8"/>
    <w:rsid w:val="37BC7885"/>
    <w:rsid w:val="37E450B2"/>
    <w:rsid w:val="397A22CF"/>
    <w:rsid w:val="3B5322AF"/>
    <w:rsid w:val="3C644091"/>
    <w:rsid w:val="3CF234B6"/>
    <w:rsid w:val="3DFC62A4"/>
    <w:rsid w:val="3E1A5306"/>
    <w:rsid w:val="3E497999"/>
    <w:rsid w:val="3E802FE9"/>
    <w:rsid w:val="3F485EA2"/>
    <w:rsid w:val="3F910D25"/>
    <w:rsid w:val="4061721C"/>
    <w:rsid w:val="416074D3"/>
    <w:rsid w:val="42DE0FF8"/>
    <w:rsid w:val="44D25B16"/>
    <w:rsid w:val="45DC10F2"/>
    <w:rsid w:val="47042A63"/>
    <w:rsid w:val="471843AC"/>
    <w:rsid w:val="47335CBB"/>
    <w:rsid w:val="47DC362C"/>
    <w:rsid w:val="481E3C44"/>
    <w:rsid w:val="49673E77"/>
    <w:rsid w:val="49CA5E32"/>
    <w:rsid w:val="4A11580F"/>
    <w:rsid w:val="4C196BFC"/>
    <w:rsid w:val="4DEE3752"/>
    <w:rsid w:val="4E086F29"/>
    <w:rsid w:val="4E6D3230"/>
    <w:rsid w:val="51421F4D"/>
    <w:rsid w:val="51FE3331"/>
    <w:rsid w:val="52885AE0"/>
    <w:rsid w:val="536C6F3D"/>
    <w:rsid w:val="54E573FD"/>
    <w:rsid w:val="567FCE8C"/>
    <w:rsid w:val="57412D1B"/>
    <w:rsid w:val="57911D3D"/>
    <w:rsid w:val="586670F9"/>
    <w:rsid w:val="588D27EC"/>
    <w:rsid w:val="59A57D21"/>
    <w:rsid w:val="5B156E17"/>
    <w:rsid w:val="5CA16BF1"/>
    <w:rsid w:val="5CFE6039"/>
    <w:rsid w:val="5D3D8FF5"/>
    <w:rsid w:val="5D3F223B"/>
    <w:rsid w:val="5E6301AB"/>
    <w:rsid w:val="5F5883ED"/>
    <w:rsid w:val="60395667"/>
    <w:rsid w:val="6100068A"/>
    <w:rsid w:val="611A682A"/>
    <w:rsid w:val="62856942"/>
    <w:rsid w:val="6380654F"/>
    <w:rsid w:val="64104931"/>
    <w:rsid w:val="64AF5EF8"/>
    <w:rsid w:val="64DEB7E9"/>
    <w:rsid w:val="64F8789F"/>
    <w:rsid w:val="656D9C30"/>
    <w:rsid w:val="67753429"/>
    <w:rsid w:val="67CA0145"/>
    <w:rsid w:val="687F64B5"/>
    <w:rsid w:val="69C415D8"/>
    <w:rsid w:val="6AB9FB35"/>
    <w:rsid w:val="6ADB7A47"/>
    <w:rsid w:val="6C5A5CA5"/>
    <w:rsid w:val="6C837557"/>
    <w:rsid w:val="6D527D69"/>
    <w:rsid w:val="6E534C65"/>
    <w:rsid w:val="6E66E4D7"/>
    <w:rsid w:val="6EBE60E1"/>
    <w:rsid w:val="6F7706EC"/>
    <w:rsid w:val="6F7D3698"/>
    <w:rsid w:val="6FB333F1"/>
    <w:rsid w:val="6FCA008A"/>
    <w:rsid w:val="6FF120E2"/>
    <w:rsid w:val="719A3A8C"/>
    <w:rsid w:val="71FB277D"/>
    <w:rsid w:val="726245AA"/>
    <w:rsid w:val="72DFDF3F"/>
    <w:rsid w:val="74B21625"/>
    <w:rsid w:val="7564688B"/>
    <w:rsid w:val="75954C96"/>
    <w:rsid w:val="75C90A12"/>
    <w:rsid w:val="75E33C54"/>
    <w:rsid w:val="76212876"/>
    <w:rsid w:val="769D2054"/>
    <w:rsid w:val="76C53359"/>
    <w:rsid w:val="76D812DE"/>
    <w:rsid w:val="76ED59CB"/>
    <w:rsid w:val="77C014F0"/>
    <w:rsid w:val="784E7EAE"/>
    <w:rsid w:val="78992CEF"/>
    <w:rsid w:val="79733540"/>
    <w:rsid w:val="79E37203"/>
    <w:rsid w:val="79F39D60"/>
    <w:rsid w:val="7AE3B2F3"/>
    <w:rsid w:val="7AE90A72"/>
    <w:rsid w:val="7BFF6E21"/>
    <w:rsid w:val="7D655F74"/>
    <w:rsid w:val="7DEE0627"/>
    <w:rsid w:val="7DFAB7CD"/>
    <w:rsid w:val="7EA17EFE"/>
    <w:rsid w:val="7EECD86B"/>
    <w:rsid w:val="7F572FBC"/>
    <w:rsid w:val="7F76814C"/>
    <w:rsid w:val="7F7B67FD"/>
    <w:rsid w:val="7F833DB1"/>
    <w:rsid w:val="7F8740FD"/>
    <w:rsid w:val="7FB796D3"/>
    <w:rsid w:val="7FEE326D"/>
    <w:rsid w:val="7FF94121"/>
    <w:rsid w:val="7FFD92B1"/>
    <w:rsid w:val="7FFE258B"/>
    <w:rsid w:val="7FFFC314"/>
    <w:rsid w:val="9FFDF4FF"/>
    <w:rsid w:val="ABE3EEFB"/>
    <w:rsid w:val="B7EFB2E5"/>
    <w:rsid w:val="BB374D92"/>
    <w:rsid w:val="BDE73270"/>
    <w:rsid w:val="BF41FDFE"/>
    <w:rsid w:val="BFBFE444"/>
    <w:rsid w:val="C7FF6CEC"/>
    <w:rsid w:val="D9DA9971"/>
    <w:rsid w:val="DBBC7813"/>
    <w:rsid w:val="DF37C34A"/>
    <w:rsid w:val="F49FDE57"/>
    <w:rsid w:val="F966F8B4"/>
    <w:rsid w:val="FCF57792"/>
    <w:rsid w:val="FEDF3782"/>
    <w:rsid w:val="FEEF8675"/>
    <w:rsid w:val="FEF1B636"/>
    <w:rsid w:val="FF644D8C"/>
    <w:rsid w:val="FF97EFF0"/>
    <w:rsid w:val="FFB482DE"/>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annotation text"/>
    <w:basedOn w:val="1"/>
    <w:link w:val="25"/>
    <w:qFormat/>
    <w:uiPriority w:val="0"/>
  </w:style>
  <w:style w:type="paragraph" w:styleId="5">
    <w:name w:val="Body Text"/>
    <w:basedOn w:val="1"/>
    <w:next w:val="6"/>
    <w:qFormat/>
    <w:uiPriority w:val="0"/>
    <w:pPr>
      <w:tabs>
        <w:tab w:val="left" w:pos="567"/>
      </w:tabs>
      <w:spacing w:before="120" w:line="22" w:lineRule="atLeast"/>
    </w:pPr>
    <w:rPr>
      <w:sz w:val="24"/>
    </w:rPr>
  </w:style>
  <w:style w:type="paragraph" w:styleId="6">
    <w:name w:val="toc 2"/>
    <w:basedOn w:val="1"/>
    <w:next w:val="1"/>
    <w:unhideWhenUsed/>
    <w:qFormat/>
    <w:uiPriority w:val="39"/>
    <w:pPr>
      <w:ind w:left="420" w:leftChars="200"/>
    </w:pPr>
    <w:rPr>
      <w:rFonts w:ascii="Calibri" w:hAnsi="Calibri" w:eastAsia="宋体" w:cs="Times New Roman"/>
    </w:rPr>
  </w:style>
  <w:style w:type="paragraph" w:styleId="7">
    <w:name w:val="Body Text Indent"/>
    <w:basedOn w:val="1"/>
    <w:qFormat/>
    <w:uiPriority w:val="0"/>
    <w:pPr>
      <w:ind w:firstLine="640" w:firstLineChars="200"/>
    </w:pPr>
    <w:rPr>
      <w:rFonts w:ascii="仿宋_GB2312" w:hAnsi="Arial" w:eastAsia="仿宋_GB2312"/>
      <w:sz w:val="32"/>
      <w:szCs w:val="32"/>
    </w:rPr>
  </w:style>
  <w:style w:type="paragraph" w:styleId="8">
    <w:name w:val="footer"/>
    <w:basedOn w:val="1"/>
    <w:link w:val="23"/>
    <w:qFormat/>
    <w:uiPriority w:val="0"/>
    <w:pPr>
      <w:tabs>
        <w:tab w:val="center" w:pos="4153"/>
        <w:tab w:val="right" w:pos="8306"/>
      </w:tabs>
      <w:snapToGrid w:val="0"/>
    </w:pPr>
    <w:rPr>
      <w:sz w:val="18"/>
      <w:szCs w:val="18"/>
    </w:rPr>
  </w:style>
  <w:style w:type="paragraph" w:styleId="9">
    <w:name w:val="header"/>
    <w:basedOn w:val="1"/>
    <w:link w:val="22"/>
    <w:qFormat/>
    <w:uiPriority w:val="99"/>
    <w:pPr>
      <w:tabs>
        <w:tab w:val="center" w:pos="4153"/>
        <w:tab w:val="right" w:pos="8306"/>
      </w:tabs>
      <w:snapToGrid w:val="0"/>
      <w:jc w:val="center"/>
    </w:pPr>
    <w:rPr>
      <w:sz w:val="18"/>
      <w:szCs w:val="18"/>
    </w:rPr>
  </w:style>
  <w:style w:type="paragraph" w:styleId="10">
    <w:name w:val="Normal (Web)"/>
    <w:basedOn w:val="1"/>
    <w:unhideWhenUsed/>
    <w:qFormat/>
    <w:uiPriority w:val="99"/>
    <w:pPr>
      <w:spacing w:before="100" w:beforeAutospacing="1" w:after="100" w:afterAutospacing="1"/>
    </w:pPr>
    <w:rPr>
      <w:rFonts w:cs="Times New Roman"/>
      <w:sz w:val="24"/>
      <w:lang w:val="en-US" w:bidi="ar-SA"/>
    </w:rPr>
  </w:style>
  <w:style w:type="paragraph" w:styleId="11">
    <w:name w:val="annotation subject"/>
    <w:basedOn w:val="4"/>
    <w:next w:val="4"/>
    <w:link w:val="26"/>
    <w:qFormat/>
    <w:uiPriority w:val="0"/>
    <w:rPr>
      <w:b/>
      <w:bCs/>
    </w:rPr>
  </w:style>
  <w:style w:type="paragraph" w:styleId="12">
    <w:name w:val="Body Text First Indent 2"/>
    <w:basedOn w:val="7"/>
    <w:next w:val="1"/>
    <w:qFormat/>
    <w:uiPriority w:val="0"/>
    <w:pPr>
      <w:ind w:firstLine="420" w:firstLineChars="200"/>
    </w:pPr>
    <w:rPr>
      <w:rFonts w:ascii="仿宋_GB2312" w:hAnsi="Arial" w:eastAsia="仿宋_GB2312"/>
      <w:sz w:val="21"/>
      <w:szCs w:val="32"/>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qFormat/>
    <w:uiPriority w:val="0"/>
    <w:rPr>
      <w:sz w:val="21"/>
      <w:szCs w:val="21"/>
    </w:rPr>
  </w:style>
  <w:style w:type="paragraph" w:customStyle="1" w:styleId="17">
    <w:name w:val="p0"/>
    <w:basedOn w:val="1"/>
    <w:autoRedefine/>
    <w:qFormat/>
    <w:uiPriority w:val="99"/>
    <w:pPr>
      <w:widowControl/>
    </w:pPr>
    <w:rPr>
      <w:szCs w:val="21"/>
    </w:rPr>
  </w:style>
  <w:style w:type="character" w:customStyle="1" w:styleId="18">
    <w:name w:val="font01"/>
    <w:basedOn w:val="15"/>
    <w:autoRedefine/>
    <w:qFormat/>
    <w:uiPriority w:val="0"/>
    <w:rPr>
      <w:rFonts w:ascii="Calibri" w:hAnsi="Calibri" w:cs="Calibri"/>
      <w:color w:val="000000"/>
      <w:sz w:val="24"/>
      <w:szCs w:val="24"/>
      <w:u w:val="none"/>
    </w:rPr>
  </w:style>
  <w:style w:type="character" w:customStyle="1" w:styleId="19">
    <w:name w:val="font31"/>
    <w:basedOn w:val="15"/>
    <w:autoRedefine/>
    <w:qFormat/>
    <w:uiPriority w:val="0"/>
    <w:rPr>
      <w:rFonts w:hint="eastAsia" w:ascii="宋体" w:hAnsi="宋体" w:eastAsia="宋体" w:cs="宋体"/>
      <w:color w:val="000000"/>
      <w:sz w:val="24"/>
      <w:szCs w:val="24"/>
      <w:u w:val="none"/>
    </w:rPr>
  </w:style>
  <w:style w:type="character" w:customStyle="1" w:styleId="20">
    <w:name w:val="font41"/>
    <w:basedOn w:val="15"/>
    <w:autoRedefine/>
    <w:qFormat/>
    <w:uiPriority w:val="0"/>
    <w:rPr>
      <w:rFonts w:hint="eastAsia" w:ascii="宋体" w:hAnsi="宋体" w:eastAsia="宋体" w:cs="宋体"/>
      <w:color w:val="000000"/>
      <w:sz w:val="24"/>
      <w:szCs w:val="24"/>
      <w:u w:val="none"/>
    </w:rPr>
  </w:style>
  <w:style w:type="character" w:customStyle="1" w:styleId="21">
    <w:name w:val="font51"/>
    <w:basedOn w:val="15"/>
    <w:autoRedefine/>
    <w:qFormat/>
    <w:uiPriority w:val="0"/>
    <w:rPr>
      <w:rFonts w:hint="default" w:ascii="Calibri" w:hAnsi="Calibri" w:cs="Calibri"/>
      <w:color w:val="000000"/>
      <w:sz w:val="24"/>
      <w:szCs w:val="24"/>
      <w:u w:val="none"/>
    </w:rPr>
  </w:style>
  <w:style w:type="character" w:customStyle="1" w:styleId="22">
    <w:name w:val="页眉 字符"/>
    <w:basedOn w:val="15"/>
    <w:link w:val="9"/>
    <w:qFormat/>
    <w:uiPriority w:val="99"/>
    <w:rPr>
      <w:rFonts w:ascii="宋体" w:hAnsi="宋体" w:cs="宋体"/>
      <w:sz w:val="18"/>
      <w:szCs w:val="18"/>
      <w:lang w:val="zh-CN" w:bidi="zh-CN"/>
    </w:rPr>
  </w:style>
  <w:style w:type="character" w:customStyle="1" w:styleId="23">
    <w:name w:val="页脚 字符"/>
    <w:basedOn w:val="15"/>
    <w:link w:val="8"/>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5"/>
    <w:link w:val="4"/>
    <w:qFormat/>
    <w:uiPriority w:val="0"/>
    <w:rPr>
      <w:rFonts w:ascii="宋体" w:hAnsi="宋体" w:cs="宋体"/>
      <w:sz w:val="22"/>
      <w:szCs w:val="22"/>
      <w:lang w:val="zh-CN" w:bidi="zh-CN"/>
    </w:rPr>
  </w:style>
  <w:style w:type="character" w:customStyle="1" w:styleId="26">
    <w:name w:val="批注主题 字符"/>
    <w:basedOn w:val="25"/>
    <w:link w:val="11"/>
    <w:qFormat/>
    <w:uiPriority w:val="0"/>
    <w:rPr>
      <w:rFonts w:ascii="宋体" w:hAnsi="宋体" w:cs="宋体"/>
      <w:b/>
      <w:bCs/>
      <w:sz w:val="22"/>
      <w:szCs w:val="22"/>
      <w:lang w:val="zh-CN" w:bidi="zh-CN"/>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29</Pages>
  <Words>4536</Words>
  <Characters>5203</Characters>
  <Lines>49</Lines>
  <Paragraphs>13</Paragraphs>
  <TotalTime>1</TotalTime>
  <ScaleCrop>false</ScaleCrop>
  <LinksUpToDate>false</LinksUpToDate>
  <CharactersWithSpaces>5278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2025-03-25T21:09:00Z</dcterms:created>
  <dc:creator>快乐达人</dc:creator>
  <cp:lastModifiedBy>王丹</cp:lastModifiedBy>
  <dcterms:modified xsi:type="dcterms:W3CDTF">2025-07-03T08:27:21Z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AE8870623F8641678597FF23179DB745_13</vt:lpwstr>
  </property>
  <property fmtid="{D5CDD505-2E9C-101B-9397-08002B2CF9AE}" pid="4" name="KSOTemplateDocerSaveRecord">
    <vt:lpwstr>eyJoZGlkIjoiYzgyZTUyZGIyZTBjZDM3OTllNGQ4MmU2ZDhiZTMxMWUiLCJ1c2VySWQiOiIyNTk5NzEyMTUifQ==</vt:lpwstr>
  </property>
</Properties>
</file>